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A5246" w:rsidRDefault="0019577D">
      <w:pPr>
        <w:widowControl w:val="0"/>
        <w:spacing w:after="0" w:line="360" w:lineRule="auto"/>
        <w:rPr>
          <w:rFonts w:ascii="PT Serif" w:hAnsi="PT Serif" w:cs="PT Serif"/>
          <w:sz w:val="24"/>
          <w:szCs w:val="24"/>
        </w:rPr>
      </w:pPr>
      <w:proofErr w:type="spellStart"/>
      <w:r>
        <w:rPr>
          <w:rFonts w:ascii="PT Serif" w:eastAsia="PT Serif" w:hAnsi="PT Serif" w:cs="PT Serif"/>
          <w:sz w:val="24"/>
          <w:szCs w:val="24"/>
          <w:lang w:eastAsia="ru-RU"/>
        </w:rPr>
        <w:t>Супрон</w:t>
      </w:r>
      <w:proofErr w:type="spellEnd"/>
      <w:r>
        <w:rPr>
          <w:rFonts w:ascii="PT Serif" w:eastAsia="PT Serif" w:hAnsi="PT Serif" w:cs="PT Serif"/>
          <w:sz w:val="24"/>
          <w:szCs w:val="24"/>
          <w:lang w:eastAsia="ru-RU"/>
        </w:rPr>
        <w:t xml:space="preserve"> Елена Анатольевна</w:t>
      </w:r>
    </w:p>
    <w:p w:rsidR="00CA5246" w:rsidRDefault="0019577D">
      <w:pPr>
        <w:widowControl w:val="0"/>
        <w:spacing w:after="0" w:line="360" w:lineRule="auto"/>
        <w:rPr>
          <w:rFonts w:ascii="PT Serif" w:hAnsi="PT Serif" w:cs="PT Serif"/>
          <w:sz w:val="24"/>
          <w:szCs w:val="24"/>
        </w:rPr>
      </w:pPr>
      <w:r>
        <w:rPr>
          <w:rFonts w:ascii="PT Serif" w:eastAsia="PT Serif" w:hAnsi="PT Serif" w:cs="PT Serif"/>
          <w:sz w:val="24"/>
          <w:szCs w:val="24"/>
          <w:lang w:eastAsia="ru-RU"/>
        </w:rPr>
        <w:t>учитель начальных классов,</w:t>
      </w:r>
    </w:p>
    <w:p w:rsidR="00CA5246" w:rsidRDefault="0019577D">
      <w:pPr>
        <w:widowControl w:val="0"/>
        <w:spacing w:after="0" w:line="360" w:lineRule="auto"/>
        <w:rPr>
          <w:rFonts w:ascii="PT Serif" w:hAnsi="PT Serif" w:cs="PT Serif"/>
          <w:sz w:val="24"/>
          <w:szCs w:val="24"/>
        </w:rPr>
      </w:pPr>
      <w:r>
        <w:rPr>
          <w:rFonts w:ascii="PT Serif" w:eastAsia="PT Serif" w:hAnsi="PT Serif" w:cs="PT Serif"/>
          <w:sz w:val="24"/>
          <w:szCs w:val="24"/>
          <w:lang w:eastAsia="ru-RU"/>
        </w:rPr>
        <w:t>ГБОУ школа № 603 Фрунзенского района Санкт-Петербурга</w:t>
      </w:r>
    </w:p>
    <w:p w:rsidR="00CA5246" w:rsidRDefault="0019577D">
      <w:pPr>
        <w:widowControl w:val="0"/>
        <w:spacing w:after="0" w:line="360" w:lineRule="auto"/>
        <w:rPr>
          <w:rFonts w:ascii="PT Serif" w:hAnsi="PT Serif" w:cs="PT Serif"/>
          <w:sz w:val="24"/>
          <w:szCs w:val="24"/>
        </w:rPr>
      </w:pPr>
      <w:proofErr w:type="gramStart"/>
      <w:r>
        <w:rPr>
          <w:rFonts w:ascii="PT Serif" w:eastAsia="PT Serif" w:hAnsi="PT Serif" w:cs="PT Serif"/>
          <w:b/>
          <w:bCs/>
          <w:sz w:val="24"/>
          <w:szCs w:val="24"/>
          <w:lang w:eastAsia="ru-RU"/>
        </w:rPr>
        <w:t xml:space="preserve">Приёмы  образовательного маршрута как способ  преодоления учебной </w:t>
      </w:r>
      <w:proofErr w:type="spellStart"/>
      <w:r>
        <w:rPr>
          <w:rFonts w:ascii="PT Serif" w:eastAsia="PT Serif" w:hAnsi="PT Serif" w:cs="PT Serif"/>
          <w:b/>
          <w:bCs/>
          <w:sz w:val="24"/>
          <w:szCs w:val="24"/>
          <w:lang w:eastAsia="ru-RU"/>
        </w:rPr>
        <w:t>демотивации</w:t>
      </w:r>
      <w:proofErr w:type="spellEnd"/>
      <w:r>
        <w:rPr>
          <w:rFonts w:ascii="PT Serif" w:eastAsia="PT Serif" w:hAnsi="PT Serif" w:cs="PT Serif"/>
          <w:b/>
          <w:bCs/>
          <w:sz w:val="24"/>
          <w:szCs w:val="24"/>
          <w:lang w:eastAsia="ru-RU"/>
        </w:rPr>
        <w:t xml:space="preserve"> в начальной школе</w:t>
      </w:r>
      <w:proofErr w:type="gramEnd"/>
    </w:p>
    <w:p w:rsidR="00CA5246" w:rsidRDefault="00CA5246">
      <w:pPr>
        <w:widowControl w:val="0"/>
        <w:spacing w:after="0" w:line="360" w:lineRule="auto"/>
        <w:rPr>
          <w:rFonts w:ascii="Times New Roman" w:eastAsia="Calibri" w:hAnsi="Times New Roman" w:cs="Times New Roman"/>
          <w:b/>
          <w:bCs/>
          <w:sz w:val="28"/>
          <w:szCs w:val="28"/>
          <w:lang w:eastAsia="ru-RU"/>
        </w:rPr>
      </w:pPr>
    </w:p>
    <w:p w:rsidR="00CA5246" w:rsidRDefault="0019577D">
      <w:pPr>
        <w:widowControl w:val="0"/>
        <w:spacing w:after="0" w:line="360" w:lineRule="auto"/>
        <w:ind w:left="680" w:right="680" w:firstLine="709"/>
        <w:jc w:val="both"/>
        <w:rPr>
          <w:rFonts w:ascii="PT Serif" w:hAnsi="PT Serif" w:cs="PT Serif"/>
          <w:i/>
          <w:iCs/>
        </w:rPr>
      </w:pPr>
      <w:r>
        <w:rPr>
          <w:rFonts w:ascii="PT Serif" w:eastAsia="PT Serif" w:hAnsi="PT Serif" w:cs="PT Serif"/>
          <w:i/>
          <w:iCs/>
          <w:sz w:val="24"/>
          <w:szCs w:val="24"/>
          <w:lang w:eastAsia="ru-RU"/>
        </w:rPr>
        <w:t xml:space="preserve">Статья посвящена анализу практических приёмов организации </w:t>
      </w:r>
      <w:r>
        <w:rPr>
          <w:rFonts w:ascii="PT Serif" w:eastAsia="PT Serif" w:hAnsi="PT Serif" w:cs="PT Serif"/>
          <w:i/>
          <w:iCs/>
          <w:sz w:val="24"/>
          <w:szCs w:val="24"/>
          <w:lang w:eastAsia="ru-RU"/>
        </w:rPr>
        <w:t xml:space="preserve"> образовательного маршрута как средства преодоления учебной </w:t>
      </w:r>
      <w:proofErr w:type="spellStart"/>
      <w:r>
        <w:rPr>
          <w:rFonts w:ascii="PT Serif" w:eastAsia="PT Serif" w:hAnsi="PT Serif" w:cs="PT Serif"/>
          <w:i/>
          <w:iCs/>
          <w:sz w:val="24"/>
          <w:szCs w:val="24"/>
          <w:lang w:eastAsia="ru-RU"/>
        </w:rPr>
        <w:t>демотивации</w:t>
      </w:r>
      <w:proofErr w:type="spellEnd"/>
      <w:r>
        <w:rPr>
          <w:rFonts w:ascii="PT Serif" w:eastAsia="PT Serif" w:hAnsi="PT Serif" w:cs="PT Serif"/>
          <w:i/>
          <w:iCs/>
          <w:sz w:val="24"/>
          <w:szCs w:val="24"/>
          <w:lang w:eastAsia="ru-RU"/>
        </w:rPr>
        <w:t xml:space="preserve"> в начальной школе. </w:t>
      </w:r>
      <w:r>
        <w:rPr>
          <w:rFonts w:ascii="PT Serif" w:eastAsia="PT Serif" w:hAnsi="PT Serif" w:cs="PT Serif"/>
          <w:i/>
          <w:iCs/>
          <w:sz w:val="24"/>
          <w:szCs w:val="24"/>
          <w:lang w:eastAsia="ru-RU"/>
        </w:rPr>
        <w:t>Актуальность темы обусловлена тревожной тенденцией: ростом числа детей, теряющих интерес к учёбе уже во 2-</w:t>
      </w:r>
      <w:r>
        <w:rPr>
          <w:rFonts w:ascii="PT Serif" w:eastAsia="PT Serif" w:hAnsi="PT Serif" w:cs="PT Serif"/>
          <w:i/>
          <w:iCs/>
          <w:sz w:val="24"/>
          <w:szCs w:val="24"/>
          <w:lang w:eastAsia="ru-RU"/>
        </w:rPr>
        <w:t xml:space="preserve">3 классах, что требует внедрения действенных и доступных инструментов. </w:t>
      </w:r>
      <w:r>
        <w:rPr>
          <w:rFonts w:ascii="PT Serif" w:eastAsia="PT Serif" w:hAnsi="PT Serif" w:cs="PT Serif"/>
          <w:i/>
          <w:iCs/>
          <w:sz w:val="24"/>
          <w:szCs w:val="24"/>
          <w:lang w:eastAsia="ru-RU"/>
        </w:rPr>
        <w:t xml:space="preserve">К преимуществам приёмов, которые </w:t>
      </w:r>
      <w:proofErr w:type="gramStart"/>
      <w:r>
        <w:rPr>
          <w:rFonts w:ascii="PT Serif" w:eastAsia="PT Serif" w:hAnsi="PT Serif" w:cs="PT Serif"/>
          <w:i/>
          <w:iCs/>
          <w:sz w:val="24"/>
          <w:szCs w:val="24"/>
          <w:lang w:eastAsia="ru-RU"/>
        </w:rPr>
        <w:t>описываются в статье относятся</w:t>
      </w:r>
      <w:proofErr w:type="gramEnd"/>
      <w:r>
        <w:rPr>
          <w:rFonts w:ascii="PT Serif" w:eastAsia="PT Serif" w:hAnsi="PT Serif" w:cs="PT Serif"/>
          <w:i/>
          <w:iCs/>
          <w:sz w:val="24"/>
          <w:szCs w:val="24"/>
          <w:lang w:eastAsia="ru-RU"/>
        </w:rPr>
        <w:t xml:space="preserve"> их универсальность, простота применения и связь с реальной жизнью. Дети не просто запоминают правила, а сами открывают з</w:t>
      </w:r>
      <w:r>
        <w:rPr>
          <w:rFonts w:ascii="PT Serif" w:eastAsia="PT Serif" w:hAnsi="PT Serif" w:cs="PT Serif"/>
          <w:i/>
          <w:iCs/>
          <w:sz w:val="24"/>
          <w:szCs w:val="24"/>
          <w:lang w:eastAsia="ru-RU"/>
        </w:rPr>
        <w:t xml:space="preserve">нания через исследования и творчество. </w:t>
      </w:r>
      <w:proofErr w:type="gramStart"/>
      <w:r>
        <w:rPr>
          <w:rFonts w:ascii="PT Serif" w:eastAsia="PT Serif" w:hAnsi="PT Serif" w:cs="PT Serif"/>
          <w:i/>
          <w:iCs/>
          <w:sz w:val="24"/>
          <w:szCs w:val="24"/>
          <w:lang w:eastAsia="ru-RU"/>
        </w:rPr>
        <w:t xml:space="preserve">При этом урок становится эмоционально насыщенным, а полученные знания значимыми для каждого ребенка. </w:t>
      </w:r>
      <w:proofErr w:type="gramEnd"/>
    </w:p>
    <w:p w:rsidR="00CA5246" w:rsidRDefault="00CA5246">
      <w:pPr>
        <w:spacing w:after="0" w:line="360" w:lineRule="auto"/>
        <w:ind w:left="680" w:right="680" w:firstLine="709"/>
        <w:jc w:val="both"/>
        <w:rPr>
          <w:rFonts w:ascii="PT Serif" w:hAnsi="PT Serif" w:cs="PT Serif"/>
          <w:i/>
          <w:iCs/>
        </w:rPr>
      </w:pPr>
    </w:p>
    <w:p w:rsidR="00CA5246" w:rsidRDefault="0019577D">
      <w:pPr>
        <w:widowControl w:val="0"/>
        <w:spacing w:after="0" w:line="360" w:lineRule="auto"/>
        <w:ind w:firstLine="709"/>
        <w:jc w:val="both"/>
        <w:rPr>
          <w:rFonts w:ascii="PT Serif" w:hAnsi="PT Serif" w:cs="PT Serif"/>
        </w:rPr>
      </w:pPr>
      <w:r>
        <w:rPr>
          <w:rFonts w:ascii="PT Serif" w:eastAsia="PT Serif" w:hAnsi="PT Serif" w:cs="PT Serif"/>
          <w:sz w:val="24"/>
          <w:szCs w:val="24"/>
          <w:lang w:eastAsia="ru-RU"/>
        </w:rPr>
        <w:t>В современной начальной школе проблема снижения учебной мотивации приобретает особую остроту. Как отмечают исследо</w:t>
      </w:r>
      <w:r>
        <w:rPr>
          <w:rFonts w:ascii="PT Serif" w:eastAsia="PT Serif" w:hAnsi="PT Serif" w:cs="PT Serif"/>
          <w:sz w:val="24"/>
          <w:szCs w:val="24"/>
          <w:lang w:eastAsia="ru-RU"/>
        </w:rPr>
        <w:t>ватели, уже к концу второго года обучения у значительной части детей наблюдается падение познавательного интереса, проявляющееся в избегании учебных задач, формальном отношении к выполнению заданий и снижении эмоционального отклика на процесс познания (1).</w:t>
      </w:r>
      <w:r>
        <w:rPr>
          <w:rFonts w:ascii="PT Serif" w:eastAsia="PT Serif" w:hAnsi="PT Serif" w:cs="PT Serif"/>
          <w:sz w:val="24"/>
          <w:szCs w:val="24"/>
          <w:lang w:eastAsia="ru-RU"/>
        </w:rPr>
        <w:t xml:space="preserve"> </w:t>
      </w:r>
    </w:p>
    <w:p w:rsidR="00CA5246" w:rsidRDefault="0019577D">
      <w:pPr>
        <w:widowControl w:val="0"/>
        <w:spacing w:after="0" w:line="360" w:lineRule="auto"/>
        <w:ind w:firstLine="709"/>
        <w:jc w:val="both"/>
        <w:rPr>
          <w:rFonts w:ascii="PT Serif" w:hAnsi="PT Serif" w:cs="PT Serif"/>
        </w:rPr>
      </w:pPr>
      <w:r>
        <w:rPr>
          <w:rFonts w:ascii="PT Serif" w:eastAsia="PT Serif" w:hAnsi="PT Serif" w:cs="PT Serif"/>
          <w:sz w:val="24"/>
          <w:szCs w:val="24"/>
          <w:lang w:eastAsia="ru-RU"/>
        </w:rPr>
        <w:t>Причины разные: перегрузка информацией,</w:t>
      </w:r>
      <w:r w:rsidR="0059584C">
        <w:rPr>
          <w:rFonts w:ascii="PT Serif" w:eastAsia="PT Serif" w:hAnsi="PT Serif" w:cs="PT Serif"/>
          <w:sz w:val="24"/>
          <w:szCs w:val="24"/>
          <w:lang w:eastAsia="ru-RU"/>
        </w:rPr>
        <w:t xml:space="preserve"> </w:t>
      </w:r>
      <w:r>
        <w:rPr>
          <w:rFonts w:ascii="PT Serif" w:eastAsia="PT Serif" w:hAnsi="PT Serif" w:cs="PT Serif"/>
          <w:sz w:val="24"/>
          <w:szCs w:val="24"/>
          <w:lang w:eastAsia="ru-RU"/>
        </w:rPr>
        <w:t>клиповое мышление</w:t>
      </w:r>
      <w:r w:rsidR="0059584C">
        <w:rPr>
          <w:rFonts w:ascii="PT Serif" w:eastAsia="PT Serif" w:hAnsi="PT Serif" w:cs="PT Serif"/>
          <w:sz w:val="24"/>
          <w:szCs w:val="24"/>
          <w:lang w:eastAsia="ru-RU"/>
        </w:rPr>
        <w:t xml:space="preserve"> школьников</w:t>
      </w:r>
      <w:r>
        <w:rPr>
          <w:rFonts w:ascii="PT Serif" w:eastAsia="PT Serif" w:hAnsi="PT Serif" w:cs="PT Serif"/>
          <w:sz w:val="24"/>
          <w:szCs w:val="24"/>
          <w:lang w:eastAsia="ru-RU"/>
        </w:rPr>
        <w:t xml:space="preserve">, раннее оценивание, </w:t>
      </w:r>
      <w:proofErr w:type="spellStart"/>
      <w:r>
        <w:rPr>
          <w:rFonts w:ascii="PT Serif" w:eastAsia="PT Serif" w:hAnsi="PT Serif" w:cs="PT Serif"/>
          <w:sz w:val="24"/>
          <w:szCs w:val="24"/>
          <w:lang w:eastAsia="ru-RU"/>
        </w:rPr>
        <w:t>гиперопека</w:t>
      </w:r>
      <w:proofErr w:type="spellEnd"/>
      <w:r>
        <w:rPr>
          <w:rFonts w:ascii="PT Serif" w:eastAsia="PT Serif" w:hAnsi="PT Serif" w:cs="PT Serif"/>
          <w:sz w:val="24"/>
          <w:szCs w:val="24"/>
          <w:lang w:eastAsia="ru-RU"/>
        </w:rPr>
        <w:t xml:space="preserve"> родителей,</w:t>
      </w:r>
      <w:r w:rsidR="0059584C">
        <w:rPr>
          <w:rFonts w:ascii="PT Serif" w:eastAsia="PT Serif" w:hAnsi="PT Serif" w:cs="PT Serif"/>
          <w:sz w:val="24"/>
          <w:szCs w:val="24"/>
          <w:lang w:eastAsia="ru-RU"/>
        </w:rPr>
        <w:t xml:space="preserve"> </w:t>
      </w:r>
      <w:r>
        <w:rPr>
          <w:rFonts w:ascii="PT Serif" w:eastAsia="PT Serif" w:hAnsi="PT Serif" w:cs="PT Serif"/>
          <w:sz w:val="24"/>
          <w:szCs w:val="24"/>
          <w:lang w:eastAsia="ru-RU"/>
        </w:rPr>
        <w:t xml:space="preserve">а также однообразие учебных форм. </w:t>
      </w:r>
    </w:p>
    <w:p w:rsidR="00CA5246" w:rsidRDefault="0019577D">
      <w:pPr>
        <w:widowControl w:val="0"/>
        <w:spacing w:after="0" w:line="360" w:lineRule="auto"/>
        <w:ind w:firstLine="709"/>
        <w:jc w:val="both"/>
        <w:rPr>
          <w:rFonts w:ascii="PT Serif" w:hAnsi="PT Serif" w:cs="PT Serif"/>
        </w:rPr>
      </w:pPr>
      <w:r>
        <w:rPr>
          <w:rFonts w:ascii="PT Serif" w:eastAsia="PT Serif" w:hAnsi="PT Serif" w:cs="PT Serif"/>
          <w:sz w:val="24"/>
          <w:szCs w:val="24"/>
          <w:lang w:eastAsia="ru-RU"/>
        </w:rPr>
        <w:t>В этих условиях традиционные методы оказываются бессильны, необходимы инструменты, которые возвращают ребёнку чувство лич</w:t>
      </w:r>
      <w:r>
        <w:rPr>
          <w:rFonts w:ascii="PT Serif" w:eastAsia="PT Serif" w:hAnsi="PT Serif" w:cs="PT Serif"/>
          <w:sz w:val="24"/>
          <w:szCs w:val="24"/>
          <w:lang w:eastAsia="ru-RU"/>
        </w:rPr>
        <w:t>ной значимости, а</w:t>
      </w:r>
      <w:r w:rsidR="0059584C">
        <w:rPr>
          <w:rFonts w:ascii="PT Serif" w:eastAsia="PT Serif" w:hAnsi="PT Serif" w:cs="PT Serif"/>
          <w:sz w:val="24"/>
          <w:szCs w:val="24"/>
          <w:lang w:eastAsia="ru-RU"/>
        </w:rPr>
        <w:t>,</w:t>
      </w:r>
      <w:r>
        <w:rPr>
          <w:rFonts w:ascii="PT Serif" w:eastAsia="PT Serif" w:hAnsi="PT Serif" w:cs="PT Serif"/>
          <w:sz w:val="24"/>
          <w:szCs w:val="24"/>
          <w:lang w:eastAsia="ru-RU"/>
        </w:rPr>
        <w:t xml:space="preserve"> значит</w:t>
      </w:r>
      <w:r w:rsidR="0059584C">
        <w:rPr>
          <w:rFonts w:ascii="PT Serif" w:eastAsia="PT Serif" w:hAnsi="PT Serif" w:cs="PT Serif"/>
          <w:sz w:val="24"/>
          <w:szCs w:val="24"/>
          <w:lang w:eastAsia="ru-RU"/>
        </w:rPr>
        <w:t>,</w:t>
      </w:r>
      <w:r>
        <w:rPr>
          <w:rFonts w:ascii="PT Serif" w:eastAsia="PT Serif" w:hAnsi="PT Serif" w:cs="PT Serif"/>
          <w:sz w:val="24"/>
          <w:szCs w:val="24"/>
          <w:lang w:eastAsia="ru-RU"/>
        </w:rPr>
        <w:t xml:space="preserve"> помогают сформировать учебную мотивацию. Особую значимость приобретают  различные приёмы </w:t>
      </w:r>
      <w:r w:rsidR="0059584C">
        <w:rPr>
          <w:rFonts w:ascii="PT Serif" w:eastAsia="PT Serif" w:hAnsi="PT Serif" w:cs="PT Serif"/>
          <w:sz w:val="24"/>
          <w:szCs w:val="24"/>
          <w:lang w:eastAsia="ru-RU"/>
        </w:rPr>
        <w:t xml:space="preserve">формирования </w:t>
      </w:r>
      <w:r>
        <w:rPr>
          <w:rFonts w:ascii="PT Serif" w:eastAsia="PT Serif" w:hAnsi="PT Serif" w:cs="PT Serif"/>
          <w:sz w:val="24"/>
          <w:szCs w:val="24"/>
          <w:lang w:eastAsia="ru-RU"/>
        </w:rPr>
        <w:t>образовательного маршрута, позволяющие учителю использовать их на каждом этапе урока и вести к достижению образовательного результата.</w:t>
      </w:r>
    </w:p>
    <w:p w:rsidR="00CA5246" w:rsidRDefault="0019577D">
      <w:pPr>
        <w:widowControl w:val="0"/>
        <w:spacing w:after="0" w:line="360" w:lineRule="auto"/>
        <w:ind w:firstLine="709"/>
        <w:jc w:val="both"/>
        <w:rPr>
          <w:rFonts w:ascii="PT Serif" w:hAnsi="PT Serif" w:cs="PT Serif"/>
        </w:rPr>
      </w:pPr>
      <w:r>
        <w:rPr>
          <w:rFonts w:ascii="PT Serif" w:eastAsia="PT Serif" w:hAnsi="PT Serif" w:cs="PT Serif"/>
          <w:sz w:val="24"/>
          <w:szCs w:val="24"/>
          <w:lang w:eastAsia="ru-RU"/>
        </w:rPr>
        <w:t>Методол</w:t>
      </w:r>
      <w:r>
        <w:rPr>
          <w:rFonts w:ascii="PT Serif" w:eastAsia="PT Serif" w:hAnsi="PT Serif" w:cs="PT Serif"/>
          <w:sz w:val="24"/>
          <w:szCs w:val="24"/>
          <w:lang w:eastAsia="ru-RU"/>
        </w:rPr>
        <w:t xml:space="preserve">огическую основу составляют идеи </w:t>
      </w:r>
      <w:proofErr w:type="spellStart"/>
      <w:r>
        <w:rPr>
          <w:rFonts w:ascii="PT Serif" w:eastAsia="PT Serif" w:hAnsi="PT Serif" w:cs="PT Serif"/>
          <w:sz w:val="24"/>
          <w:szCs w:val="24"/>
          <w:lang w:eastAsia="ru-RU"/>
        </w:rPr>
        <w:t>деятельностного</w:t>
      </w:r>
      <w:proofErr w:type="spellEnd"/>
      <w:r>
        <w:rPr>
          <w:rFonts w:ascii="PT Serif" w:eastAsia="PT Serif" w:hAnsi="PT Serif" w:cs="PT Serif"/>
          <w:sz w:val="24"/>
          <w:szCs w:val="24"/>
          <w:lang w:eastAsia="ru-RU"/>
        </w:rPr>
        <w:t xml:space="preserve"> подхода (4), согласно которому психическое развитие ребёнка происходит в процессе активной деятельности, а также концепция зоны ближайшего развития Л.С. Выготского (2), где обучение эффективно только тогда, </w:t>
      </w:r>
      <w:r>
        <w:rPr>
          <w:rFonts w:ascii="PT Serif" w:eastAsia="PT Serif" w:hAnsi="PT Serif" w:cs="PT Serif"/>
          <w:sz w:val="24"/>
          <w:szCs w:val="24"/>
          <w:lang w:eastAsia="ru-RU"/>
        </w:rPr>
        <w:t xml:space="preserve">когда создаёт условия для самостоятельного преодоления трудностей. Кроме того, технология образовательного маршрута опирается на принципы </w:t>
      </w:r>
      <w:proofErr w:type="spellStart"/>
      <w:r>
        <w:rPr>
          <w:rFonts w:ascii="PT Serif" w:eastAsia="PT Serif" w:hAnsi="PT Serif" w:cs="PT Serif"/>
          <w:sz w:val="24"/>
          <w:szCs w:val="24"/>
          <w:lang w:eastAsia="ru-RU"/>
        </w:rPr>
        <w:t>тьютерского</w:t>
      </w:r>
      <w:proofErr w:type="spellEnd"/>
      <w:r>
        <w:rPr>
          <w:rFonts w:ascii="PT Serif" w:eastAsia="PT Serif" w:hAnsi="PT Serif" w:cs="PT Serif"/>
          <w:sz w:val="24"/>
          <w:szCs w:val="24"/>
          <w:lang w:eastAsia="ru-RU"/>
        </w:rPr>
        <w:t xml:space="preserve"> </w:t>
      </w:r>
      <w:r>
        <w:rPr>
          <w:rFonts w:ascii="PT Serif" w:eastAsia="PT Serif" w:hAnsi="PT Serif" w:cs="PT Serif"/>
          <w:sz w:val="24"/>
          <w:szCs w:val="24"/>
          <w:lang w:eastAsia="ru-RU"/>
        </w:rPr>
        <w:lastRenderedPageBreak/>
        <w:t xml:space="preserve">сопровождения (3), что особенно важно в контексте индивидуализации обучения.  </w:t>
      </w:r>
    </w:p>
    <w:p w:rsidR="00CA5246" w:rsidRDefault="0019577D">
      <w:pPr>
        <w:widowControl w:val="0"/>
        <w:spacing w:after="0" w:line="360" w:lineRule="auto"/>
        <w:ind w:firstLine="709"/>
        <w:jc w:val="both"/>
        <w:rPr>
          <w:rFonts w:ascii="PT Serif" w:hAnsi="PT Serif" w:cs="PT Serif"/>
        </w:rPr>
      </w:pPr>
      <w:r>
        <w:rPr>
          <w:rFonts w:ascii="PT Serif" w:eastAsia="PT Serif" w:hAnsi="PT Serif" w:cs="PT Serif"/>
          <w:sz w:val="24"/>
          <w:szCs w:val="24"/>
          <w:lang w:eastAsia="ru-RU"/>
        </w:rPr>
        <w:t>Применительно к начальной ш</w:t>
      </w:r>
      <w:r>
        <w:rPr>
          <w:rFonts w:ascii="PT Serif" w:eastAsia="PT Serif" w:hAnsi="PT Serif" w:cs="PT Serif"/>
          <w:sz w:val="24"/>
          <w:szCs w:val="24"/>
          <w:lang w:eastAsia="ru-RU"/>
        </w:rPr>
        <w:t xml:space="preserve">коле, где ведущей деятельностью постепенно становится </w:t>
      </w:r>
      <w:proofErr w:type="gramStart"/>
      <w:r>
        <w:rPr>
          <w:rFonts w:ascii="PT Serif" w:eastAsia="PT Serif" w:hAnsi="PT Serif" w:cs="PT Serif"/>
          <w:sz w:val="24"/>
          <w:szCs w:val="24"/>
          <w:lang w:eastAsia="ru-RU"/>
        </w:rPr>
        <w:t>учебная</w:t>
      </w:r>
      <w:proofErr w:type="gramEnd"/>
      <w:r>
        <w:rPr>
          <w:rFonts w:ascii="PT Serif" w:eastAsia="PT Serif" w:hAnsi="PT Serif" w:cs="PT Serif"/>
          <w:sz w:val="24"/>
          <w:szCs w:val="24"/>
          <w:lang w:eastAsia="ru-RU"/>
        </w:rPr>
        <w:t>, образовательный маршрут позволяет сохранить элементы игровой и исследовательской активности, столь значимые для детей 7–10 лет.</w:t>
      </w:r>
    </w:p>
    <w:p w:rsidR="00CA5246" w:rsidRDefault="0019577D">
      <w:pPr>
        <w:widowControl w:val="0"/>
        <w:spacing w:after="0" w:line="360" w:lineRule="auto"/>
        <w:ind w:firstLine="709"/>
        <w:jc w:val="both"/>
        <w:rPr>
          <w:rFonts w:ascii="PT Serif" w:hAnsi="PT Serif" w:cs="PT Serif"/>
        </w:rPr>
      </w:pPr>
      <w:r>
        <w:rPr>
          <w:rFonts w:ascii="PT Serif" w:eastAsia="PT Serif" w:hAnsi="PT Serif" w:cs="PT Serif"/>
          <w:sz w:val="24"/>
          <w:szCs w:val="24"/>
          <w:lang w:eastAsia="ru-RU"/>
        </w:rPr>
        <w:t>Опираясь на собственный педагогический опыт и анализ научно-метод</w:t>
      </w:r>
      <w:r>
        <w:rPr>
          <w:rFonts w:ascii="PT Serif" w:eastAsia="PT Serif" w:hAnsi="PT Serif" w:cs="PT Serif"/>
          <w:sz w:val="24"/>
          <w:szCs w:val="24"/>
          <w:lang w:eastAsia="ru-RU"/>
        </w:rPr>
        <w:t xml:space="preserve">ической литературы, выделим четыре ключевых приёма организации образовательного маршрута в начальной школе. Рассмотрим их более подробно. </w:t>
      </w:r>
    </w:p>
    <w:p w:rsidR="00CA5246" w:rsidRDefault="0019577D">
      <w:pPr>
        <w:widowControl w:val="0"/>
        <w:spacing w:after="0" w:line="360" w:lineRule="auto"/>
        <w:ind w:firstLine="709"/>
        <w:jc w:val="both"/>
        <w:rPr>
          <w:rFonts w:ascii="PT Serif" w:hAnsi="PT Serif" w:cs="PT Serif"/>
        </w:rPr>
      </w:pPr>
      <w:r>
        <w:rPr>
          <w:rFonts w:ascii="PT Serif" w:eastAsia="PT Serif" w:hAnsi="PT Serif" w:cs="PT Serif"/>
          <w:i/>
          <w:iCs/>
          <w:sz w:val="24"/>
          <w:szCs w:val="24"/>
          <w:lang w:eastAsia="ru-RU"/>
        </w:rPr>
        <w:t>Приём 1.</w:t>
      </w:r>
      <w:r>
        <w:rPr>
          <w:rFonts w:ascii="PT Serif" w:eastAsia="PT Serif" w:hAnsi="PT Serif" w:cs="PT Serif"/>
          <w:sz w:val="24"/>
          <w:szCs w:val="24"/>
          <w:lang w:eastAsia="ru-RU"/>
        </w:rPr>
        <w:t xml:space="preserve"> «Маршрутный лист — открытая задача». Вместо готового плана урока детям предлагается незавершённый маршрутный</w:t>
      </w:r>
      <w:r>
        <w:rPr>
          <w:rFonts w:ascii="PT Serif" w:eastAsia="PT Serif" w:hAnsi="PT Serif" w:cs="PT Serif"/>
          <w:sz w:val="24"/>
          <w:szCs w:val="24"/>
          <w:lang w:eastAsia="ru-RU"/>
        </w:rPr>
        <w:t xml:space="preserve"> лист, содержащий проблемный вопрос, коллаж или интригующее начало. Учащиеся совместно с учителем определяют траекторию движения: «Что мы уже знаем?», «Что хотим узнать?», «В каком порядке будем исследовать?». Данный приём, по мнению Е.А. Александровой акт</w:t>
      </w:r>
      <w:r>
        <w:rPr>
          <w:rFonts w:ascii="PT Serif" w:eastAsia="PT Serif" w:hAnsi="PT Serif" w:cs="PT Serif"/>
          <w:sz w:val="24"/>
          <w:szCs w:val="24"/>
          <w:lang w:eastAsia="ru-RU"/>
        </w:rPr>
        <w:t xml:space="preserve">ивизирует механизмы целеполагания, что критически важно для преодоления </w:t>
      </w:r>
      <w:proofErr w:type="spellStart"/>
      <w:r>
        <w:rPr>
          <w:rFonts w:ascii="PT Serif" w:eastAsia="PT Serif" w:hAnsi="PT Serif" w:cs="PT Serif"/>
          <w:sz w:val="24"/>
          <w:szCs w:val="24"/>
          <w:lang w:eastAsia="ru-RU"/>
        </w:rPr>
        <w:t>демотивации</w:t>
      </w:r>
      <w:proofErr w:type="spellEnd"/>
      <w:r>
        <w:rPr>
          <w:rFonts w:ascii="PT Serif" w:eastAsia="PT Serif" w:hAnsi="PT Serif" w:cs="PT Serif"/>
          <w:sz w:val="24"/>
          <w:szCs w:val="24"/>
          <w:lang w:eastAsia="ru-RU"/>
        </w:rPr>
        <w:t xml:space="preserve">, поскольку возвращает ребёнку ощущение </w:t>
      </w:r>
      <w:proofErr w:type="spellStart"/>
      <w:r>
        <w:rPr>
          <w:rFonts w:ascii="PT Serif" w:eastAsia="PT Serif" w:hAnsi="PT Serif" w:cs="PT Serif"/>
          <w:sz w:val="24"/>
          <w:szCs w:val="24"/>
          <w:lang w:eastAsia="ru-RU"/>
        </w:rPr>
        <w:t>субъектности</w:t>
      </w:r>
      <w:proofErr w:type="spellEnd"/>
      <w:r>
        <w:rPr>
          <w:rFonts w:ascii="PT Serif" w:eastAsia="PT Serif" w:hAnsi="PT Serif" w:cs="PT Serif"/>
          <w:sz w:val="24"/>
          <w:szCs w:val="24"/>
          <w:lang w:eastAsia="ru-RU"/>
        </w:rPr>
        <w:t xml:space="preserve"> и контроля над учебным процессом.</w:t>
      </w:r>
    </w:p>
    <w:p w:rsidR="00CA5246" w:rsidRDefault="0019577D">
      <w:pPr>
        <w:widowControl w:val="0"/>
        <w:spacing w:after="0" w:line="360" w:lineRule="auto"/>
        <w:ind w:firstLine="709"/>
        <w:jc w:val="both"/>
        <w:rPr>
          <w:rFonts w:ascii="PT Serif" w:hAnsi="PT Serif" w:cs="PT Serif"/>
        </w:rPr>
      </w:pPr>
      <w:r>
        <w:rPr>
          <w:rFonts w:ascii="PT Serif" w:eastAsia="PT Serif" w:hAnsi="PT Serif" w:cs="PT Serif"/>
          <w:i/>
          <w:iCs/>
          <w:sz w:val="24"/>
          <w:szCs w:val="24"/>
          <w:lang w:eastAsia="ru-RU"/>
        </w:rPr>
        <w:t>Пример:</w:t>
      </w:r>
      <w:r>
        <w:rPr>
          <w:rFonts w:ascii="PT Serif" w:eastAsia="PT Serif" w:hAnsi="PT Serif" w:cs="PT Serif"/>
          <w:sz w:val="24"/>
          <w:szCs w:val="24"/>
          <w:lang w:eastAsia="ru-RU"/>
        </w:rPr>
        <w:t xml:space="preserve"> (урок русского языка 2 класс, изучение парных согласных в </w:t>
      </w:r>
      <w:proofErr w:type="gramStart"/>
      <w:r>
        <w:rPr>
          <w:rFonts w:ascii="PT Serif" w:eastAsia="PT Serif" w:hAnsi="PT Serif" w:cs="PT Serif"/>
          <w:sz w:val="24"/>
          <w:szCs w:val="24"/>
          <w:lang w:eastAsia="ru-RU"/>
        </w:rPr>
        <w:t>корне слова</w:t>
      </w:r>
      <w:proofErr w:type="gramEnd"/>
      <w:r>
        <w:rPr>
          <w:rFonts w:ascii="PT Serif" w:eastAsia="PT Serif" w:hAnsi="PT Serif" w:cs="PT Serif"/>
          <w:sz w:val="24"/>
          <w:szCs w:val="24"/>
          <w:lang w:eastAsia="ru-RU"/>
        </w:rPr>
        <w:t>). Ученик</w:t>
      </w:r>
      <w:r>
        <w:rPr>
          <w:rFonts w:ascii="PT Serif" w:eastAsia="PT Serif" w:hAnsi="PT Serif" w:cs="PT Serif"/>
          <w:sz w:val="24"/>
          <w:szCs w:val="24"/>
          <w:lang w:eastAsia="ru-RU"/>
        </w:rPr>
        <w:t xml:space="preserve">ам предлагается стихотворение с пропущенными буквами и рисунки - гриб, дождь, лист. Дети самостоятельно вставляют пропущенные слова и предполагают тему урока. </w:t>
      </w:r>
    </w:p>
    <w:p w:rsidR="00CA5246" w:rsidRDefault="0019577D">
      <w:pPr>
        <w:widowControl w:val="0"/>
        <w:spacing w:after="0" w:line="360" w:lineRule="auto"/>
        <w:ind w:firstLine="709"/>
        <w:jc w:val="both"/>
        <w:rPr>
          <w:rFonts w:ascii="PT Serif" w:hAnsi="PT Serif" w:cs="PT Serif"/>
        </w:rPr>
      </w:pPr>
      <w:r>
        <w:rPr>
          <w:rFonts w:ascii="PT Serif" w:eastAsia="PT Serif" w:hAnsi="PT Serif" w:cs="PT Serif"/>
          <w:sz w:val="24"/>
          <w:szCs w:val="24"/>
          <w:lang w:eastAsia="ru-RU"/>
        </w:rPr>
        <w:t xml:space="preserve">Данный приём снимает главную причину </w:t>
      </w:r>
      <w:proofErr w:type="spellStart"/>
      <w:r>
        <w:rPr>
          <w:rFonts w:ascii="PT Serif" w:eastAsia="PT Serif" w:hAnsi="PT Serif" w:cs="PT Serif"/>
          <w:sz w:val="24"/>
          <w:szCs w:val="24"/>
          <w:lang w:eastAsia="ru-RU"/>
        </w:rPr>
        <w:t>демотивации</w:t>
      </w:r>
      <w:proofErr w:type="spellEnd"/>
      <w:r>
        <w:rPr>
          <w:rFonts w:ascii="PT Serif" w:eastAsia="PT Serif" w:hAnsi="PT Serif" w:cs="PT Serif"/>
          <w:sz w:val="24"/>
          <w:szCs w:val="24"/>
          <w:lang w:eastAsia="ru-RU"/>
        </w:rPr>
        <w:t xml:space="preserve"> - скуку и пассивность. Каждый ребенок чувствует</w:t>
      </w:r>
      <w:r>
        <w:rPr>
          <w:rFonts w:ascii="PT Serif" w:eastAsia="PT Serif" w:hAnsi="PT Serif" w:cs="PT Serif"/>
          <w:sz w:val="24"/>
          <w:szCs w:val="24"/>
          <w:lang w:eastAsia="ru-RU"/>
        </w:rPr>
        <w:t xml:space="preserve"> себя автором процесса, его любопытство становится двигателем. Дети начинают размышлять, задавать вопросы, что является важным шагом на пути к внутреннему интересу. </w:t>
      </w:r>
    </w:p>
    <w:p w:rsidR="00CA5246" w:rsidRDefault="0019577D">
      <w:pPr>
        <w:widowControl w:val="0"/>
        <w:spacing w:after="0" w:line="360" w:lineRule="auto"/>
        <w:ind w:firstLine="709"/>
        <w:jc w:val="both"/>
        <w:rPr>
          <w:rFonts w:ascii="PT Serif" w:hAnsi="PT Serif" w:cs="PT Serif"/>
        </w:rPr>
      </w:pPr>
      <w:r>
        <w:rPr>
          <w:rFonts w:ascii="PT Serif" w:eastAsia="PT Serif" w:hAnsi="PT Serif" w:cs="PT Serif"/>
          <w:i/>
          <w:iCs/>
          <w:sz w:val="24"/>
          <w:szCs w:val="24"/>
          <w:lang w:eastAsia="ru-RU"/>
        </w:rPr>
        <w:t>Приём 2.</w:t>
      </w:r>
      <w:r>
        <w:rPr>
          <w:rFonts w:ascii="PT Serif" w:eastAsia="PT Serif" w:hAnsi="PT Serif" w:cs="PT Serif"/>
          <w:sz w:val="24"/>
          <w:szCs w:val="24"/>
          <w:lang w:eastAsia="ru-RU"/>
        </w:rPr>
        <w:t xml:space="preserve"> «Станции </w:t>
      </w:r>
      <w:proofErr w:type="spellStart"/>
      <w:r>
        <w:rPr>
          <w:rFonts w:ascii="PT Serif" w:eastAsia="PT Serif" w:hAnsi="PT Serif" w:cs="PT Serif"/>
          <w:sz w:val="24"/>
          <w:szCs w:val="24"/>
          <w:lang w:eastAsia="ru-RU"/>
        </w:rPr>
        <w:t>разноуровневых</w:t>
      </w:r>
      <w:proofErr w:type="spellEnd"/>
      <w:r>
        <w:rPr>
          <w:rFonts w:ascii="PT Serif" w:eastAsia="PT Serif" w:hAnsi="PT Serif" w:cs="PT Serif"/>
          <w:sz w:val="24"/>
          <w:szCs w:val="24"/>
          <w:lang w:eastAsia="ru-RU"/>
        </w:rPr>
        <w:t xml:space="preserve"> заданий». В процессе прохождения маршрута дети попадают н</w:t>
      </w:r>
      <w:r>
        <w:rPr>
          <w:rFonts w:ascii="PT Serif" w:eastAsia="PT Serif" w:hAnsi="PT Serif" w:cs="PT Serif"/>
          <w:sz w:val="24"/>
          <w:szCs w:val="24"/>
          <w:lang w:eastAsia="ru-RU"/>
        </w:rPr>
        <w:t>а «станции», каждая из которых содержит не одно, а несколько заданий разного уровня сложности. Ребёнок самостоятельно выбирает тот вариант, который соответствует его текущим возможностям. Как отмечает А.Н. Леонтьев (4), именно посильность задачи в сочетани</w:t>
      </w:r>
      <w:r>
        <w:rPr>
          <w:rFonts w:ascii="PT Serif" w:eastAsia="PT Serif" w:hAnsi="PT Serif" w:cs="PT Serif"/>
          <w:sz w:val="24"/>
          <w:szCs w:val="24"/>
          <w:lang w:eastAsia="ru-RU"/>
        </w:rPr>
        <w:t>и с элементом выбора создаёт ситуацию успеха, которая выступает мощным фактором укрепления внутренней мотивации. В групповой работе данный приём позволяет распределить роли, что особенно ценно для детей с низкой самооценкой.</w:t>
      </w:r>
    </w:p>
    <w:p w:rsidR="00CA5246" w:rsidRDefault="0019577D">
      <w:pPr>
        <w:widowControl w:val="0"/>
        <w:spacing w:after="0" w:line="360" w:lineRule="auto"/>
        <w:ind w:firstLine="709"/>
        <w:jc w:val="both"/>
        <w:rPr>
          <w:rFonts w:ascii="PT Serif" w:hAnsi="PT Serif" w:cs="PT Serif"/>
        </w:rPr>
      </w:pPr>
      <w:r>
        <w:rPr>
          <w:rFonts w:ascii="PT Serif" w:eastAsia="PT Serif" w:hAnsi="PT Serif" w:cs="PT Serif"/>
          <w:i/>
          <w:iCs/>
          <w:sz w:val="24"/>
          <w:szCs w:val="24"/>
          <w:lang w:eastAsia="ru-RU"/>
        </w:rPr>
        <w:t xml:space="preserve">Пример: </w:t>
      </w:r>
      <w:r>
        <w:rPr>
          <w:rFonts w:ascii="PT Serif" w:eastAsia="PT Serif" w:hAnsi="PT Serif" w:cs="PT Serif"/>
          <w:sz w:val="24"/>
          <w:szCs w:val="24"/>
          <w:lang w:eastAsia="ru-RU"/>
        </w:rPr>
        <w:t xml:space="preserve">урок труда (станция мастерская). Ученикам предлагают выбрать самостоятельно 3 уровня сложности. </w:t>
      </w:r>
    </w:p>
    <w:p w:rsidR="00CA5246" w:rsidRDefault="0019577D">
      <w:pPr>
        <w:widowControl w:val="0"/>
        <w:spacing w:after="0" w:line="360" w:lineRule="auto"/>
        <w:ind w:firstLine="709"/>
        <w:jc w:val="both"/>
        <w:rPr>
          <w:rFonts w:ascii="PT Serif" w:hAnsi="PT Serif" w:cs="PT Serif"/>
        </w:rPr>
      </w:pPr>
      <w:r>
        <w:rPr>
          <w:rFonts w:ascii="PT Serif" w:eastAsia="PT Serif" w:hAnsi="PT Serif" w:cs="PT Serif"/>
          <w:sz w:val="24"/>
          <w:szCs w:val="24"/>
          <w:lang w:eastAsia="ru-RU"/>
        </w:rPr>
        <w:t>1 уровен</w:t>
      </w:r>
      <w:proofErr w:type="gramStart"/>
      <w:r>
        <w:rPr>
          <w:rFonts w:ascii="PT Serif" w:eastAsia="PT Serif" w:hAnsi="PT Serif" w:cs="PT Serif"/>
          <w:sz w:val="24"/>
          <w:szCs w:val="24"/>
          <w:lang w:eastAsia="ru-RU"/>
        </w:rPr>
        <w:t>ь-</w:t>
      </w:r>
      <w:proofErr w:type="gramEnd"/>
      <w:r>
        <w:rPr>
          <w:rFonts w:ascii="PT Serif" w:eastAsia="PT Serif" w:hAnsi="PT Serif" w:cs="PT Serif"/>
          <w:sz w:val="24"/>
          <w:szCs w:val="24"/>
          <w:lang w:eastAsia="ru-RU"/>
        </w:rPr>
        <w:t xml:space="preserve"> сложить базовую форму «домик» по инструкции.</w:t>
      </w:r>
    </w:p>
    <w:p w:rsidR="00CA5246" w:rsidRDefault="0019577D">
      <w:pPr>
        <w:widowControl w:val="0"/>
        <w:spacing w:after="0" w:line="360" w:lineRule="auto"/>
        <w:ind w:firstLine="709"/>
        <w:jc w:val="both"/>
        <w:rPr>
          <w:rFonts w:ascii="PT Serif" w:hAnsi="PT Serif" w:cs="PT Serif"/>
        </w:rPr>
      </w:pPr>
      <w:r>
        <w:rPr>
          <w:rFonts w:ascii="PT Serif" w:eastAsia="PT Serif" w:hAnsi="PT Serif" w:cs="PT Serif"/>
          <w:sz w:val="24"/>
          <w:szCs w:val="24"/>
          <w:lang w:eastAsia="ru-RU"/>
        </w:rPr>
        <w:t>2 уровен</w:t>
      </w:r>
      <w:proofErr w:type="gramStart"/>
      <w:r>
        <w:rPr>
          <w:rFonts w:ascii="PT Serif" w:eastAsia="PT Serif" w:hAnsi="PT Serif" w:cs="PT Serif"/>
          <w:sz w:val="24"/>
          <w:szCs w:val="24"/>
          <w:lang w:eastAsia="ru-RU"/>
        </w:rPr>
        <w:t>ь-</w:t>
      </w:r>
      <w:proofErr w:type="gramEnd"/>
      <w:r>
        <w:rPr>
          <w:rFonts w:ascii="PT Serif" w:eastAsia="PT Serif" w:hAnsi="PT Serif" w:cs="PT Serif"/>
          <w:sz w:val="24"/>
          <w:szCs w:val="24"/>
          <w:lang w:eastAsia="ru-RU"/>
        </w:rPr>
        <w:t xml:space="preserve"> сделать открытку, используя  форму «»домик.</w:t>
      </w:r>
    </w:p>
    <w:p w:rsidR="00CA5246" w:rsidRDefault="0019577D">
      <w:pPr>
        <w:widowControl w:val="0"/>
        <w:spacing w:after="0" w:line="360" w:lineRule="auto"/>
        <w:ind w:firstLine="709"/>
        <w:jc w:val="both"/>
        <w:rPr>
          <w:rFonts w:ascii="PT Serif" w:hAnsi="PT Serif" w:cs="PT Serif"/>
        </w:rPr>
      </w:pPr>
      <w:r>
        <w:rPr>
          <w:rFonts w:ascii="PT Serif" w:eastAsia="PT Serif" w:hAnsi="PT Serif" w:cs="PT Serif"/>
          <w:sz w:val="24"/>
          <w:szCs w:val="24"/>
          <w:lang w:eastAsia="ru-RU"/>
        </w:rPr>
        <w:t>3 уровен</w:t>
      </w:r>
      <w:proofErr w:type="gramStart"/>
      <w:r>
        <w:rPr>
          <w:rFonts w:ascii="PT Serif" w:eastAsia="PT Serif" w:hAnsi="PT Serif" w:cs="PT Serif"/>
          <w:sz w:val="24"/>
          <w:szCs w:val="24"/>
          <w:lang w:eastAsia="ru-RU"/>
        </w:rPr>
        <w:t>ь-</w:t>
      </w:r>
      <w:proofErr w:type="gramEnd"/>
      <w:r>
        <w:rPr>
          <w:rFonts w:ascii="PT Serif" w:eastAsia="PT Serif" w:hAnsi="PT Serif" w:cs="PT Serif"/>
          <w:sz w:val="24"/>
          <w:szCs w:val="24"/>
          <w:lang w:eastAsia="ru-RU"/>
        </w:rPr>
        <w:t xml:space="preserve"> придумать свою поделку их тех же деталей.  </w:t>
      </w:r>
    </w:p>
    <w:p w:rsidR="00CA5246" w:rsidRDefault="0019577D">
      <w:pPr>
        <w:widowControl w:val="0"/>
        <w:spacing w:after="0" w:line="360" w:lineRule="auto"/>
        <w:ind w:firstLine="709"/>
        <w:jc w:val="both"/>
        <w:rPr>
          <w:rFonts w:ascii="PT Serif" w:hAnsi="PT Serif" w:cs="PT Serif"/>
        </w:rPr>
      </w:pPr>
      <w:r>
        <w:rPr>
          <w:rFonts w:ascii="PT Serif" w:eastAsia="PT Serif" w:hAnsi="PT Serif" w:cs="PT Serif"/>
          <w:sz w:val="24"/>
          <w:szCs w:val="24"/>
          <w:lang w:eastAsia="ru-RU"/>
        </w:rPr>
        <w:lastRenderedPageBreak/>
        <w:t xml:space="preserve">Данный приём напрямую работает со страхом ребенка совершить ошибку, а </w:t>
      </w:r>
      <w:proofErr w:type="gramStart"/>
      <w:r>
        <w:rPr>
          <w:rFonts w:ascii="PT Serif" w:eastAsia="PT Serif" w:hAnsi="PT Serif" w:cs="PT Serif"/>
          <w:sz w:val="24"/>
          <w:szCs w:val="24"/>
          <w:lang w:eastAsia="ru-RU"/>
        </w:rPr>
        <w:t>значит</w:t>
      </w:r>
      <w:proofErr w:type="gramEnd"/>
      <w:r>
        <w:rPr>
          <w:rFonts w:ascii="PT Serif" w:eastAsia="PT Serif" w:hAnsi="PT Serif" w:cs="PT Serif"/>
          <w:sz w:val="24"/>
          <w:szCs w:val="24"/>
          <w:lang w:eastAsia="ru-RU"/>
        </w:rPr>
        <w:t xml:space="preserve"> снижает тревожность и дает ощущение контроля. </w:t>
      </w:r>
    </w:p>
    <w:p w:rsidR="00CA5246" w:rsidRDefault="0019577D">
      <w:pPr>
        <w:widowControl w:val="0"/>
        <w:spacing w:after="0" w:line="360" w:lineRule="auto"/>
        <w:ind w:firstLine="709"/>
        <w:jc w:val="both"/>
        <w:rPr>
          <w:rFonts w:ascii="PT Serif" w:hAnsi="PT Serif" w:cs="PT Serif"/>
        </w:rPr>
      </w:pPr>
      <w:r>
        <w:rPr>
          <w:rFonts w:ascii="PT Serif" w:eastAsia="PT Serif" w:hAnsi="PT Serif" w:cs="PT Serif"/>
          <w:i/>
          <w:iCs/>
          <w:sz w:val="24"/>
          <w:szCs w:val="24"/>
          <w:lang w:eastAsia="ru-RU"/>
        </w:rPr>
        <w:t>Приём 3.</w:t>
      </w:r>
      <w:r>
        <w:rPr>
          <w:rFonts w:ascii="PT Serif" w:eastAsia="PT Serif" w:hAnsi="PT Serif" w:cs="PT Serif"/>
          <w:sz w:val="24"/>
          <w:szCs w:val="24"/>
          <w:lang w:eastAsia="ru-RU"/>
        </w:rPr>
        <w:t xml:space="preserve"> «Бортовой журнал». На протяжении всего образовательного маршрута у д</w:t>
      </w:r>
      <w:r>
        <w:rPr>
          <w:rFonts w:ascii="PT Serif" w:eastAsia="PT Serif" w:hAnsi="PT Serif" w:cs="PT Serif"/>
          <w:sz w:val="24"/>
          <w:szCs w:val="24"/>
          <w:lang w:eastAsia="ru-RU"/>
        </w:rPr>
        <w:t xml:space="preserve">етей есть инструмент фиксации открытий. В качестве инструмента фиксации результатов используется «бортовой журнал», это может быть  творческая рабочая папка, отдельная   </w:t>
      </w:r>
      <w:proofErr w:type="spellStart"/>
      <w:r>
        <w:rPr>
          <w:rFonts w:ascii="PT Serif" w:eastAsia="PT Serif" w:hAnsi="PT Serif" w:cs="PT Serif"/>
          <w:sz w:val="24"/>
          <w:szCs w:val="24"/>
          <w:lang w:eastAsia="ru-RU"/>
        </w:rPr>
        <w:t>тетрадь</w:t>
      </w:r>
      <w:proofErr w:type="gramStart"/>
      <w:r>
        <w:rPr>
          <w:rFonts w:ascii="PT Serif" w:eastAsia="PT Serif" w:hAnsi="PT Serif" w:cs="PT Serif"/>
          <w:sz w:val="24"/>
          <w:szCs w:val="24"/>
          <w:lang w:eastAsia="ru-RU"/>
        </w:rPr>
        <w:t>,б</w:t>
      </w:r>
      <w:proofErr w:type="gramEnd"/>
      <w:r>
        <w:rPr>
          <w:rFonts w:ascii="PT Serif" w:eastAsia="PT Serif" w:hAnsi="PT Serif" w:cs="PT Serif"/>
          <w:sz w:val="24"/>
          <w:szCs w:val="24"/>
          <w:lang w:eastAsia="ru-RU"/>
        </w:rPr>
        <w:t>локнот</w:t>
      </w:r>
      <w:proofErr w:type="spellEnd"/>
      <w:r>
        <w:rPr>
          <w:rFonts w:ascii="PT Serif" w:eastAsia="PT Serif" w:hAnsi="PT Serif" w:cs="PT Serif"/>
          <w:sz w:val="24"/>
          <w:szCs w:val="24"/>
          <w:lang w:eastAsia="ru-RU"/>
        </w:rPr>
        <w:t>, куда дети заносят открытия в виде рисунков, схем, символов, кратких з</w:t>
      </w:r>
      <w:r>
        <w:rPr>
          <w:rFonts w:ascii="PT Serif" w:eastAsia="PT Serif" w:hAnsi="PT Serif" w:cs="PT Serif"/>
          <w:sz w:val="24"/>
          <w:szCs w:val="24"/>
          <w:lang w:eastAsia="ru-RU"/>
        </w:rPr>
        <w:t xml:space="preserve">аписей. Главное, что журнал ведется свободно, без жёстких требований к оформлению. Это также помогают ребенку развивать самостоятельность, творческий потенциал и не фокусироваться на ситуации неуспеха. </w:t>
      </w:r>
    </w:p>
    <w:p w:rsidR="00CA5246" w:rsidRDefault="0019577D">
      <w:pPr>
        <w:widowControl w:val="0"/>
        <w:spacing w:after="0" w:line="360" w:lineRule="auto"/>
        <w:ind w:firstLine="709"/>
        <w:jc w:val="both"/>
        <w:rPr>
          <w:rFonts w:ascii="PT Serif" w:hAnsi="PT Serif" w:cs="PT Serif"/>
        </w:rPr>
      </w:pPr>
      <w:r>
        <w:rPr>
          <w:rFonts w:ascii="PT Serif" w:eastAsia="PT Serif" w:hAnsi="PT Serif" w:cs="PT Serif"/>
          <w:i/>
          <w:iCs/>
          <w:sz w:val="24"/>
          <w:szCs w:val="24"/>
          <w:lang w:eastAsia="ru-RU"/>
        </w:rPr>
        <w:t>Пример:</w:t>
      </w:r>
      <w:r>
        <w:rPr>
          <w:rFonts w:ascii="PT Serif" w:eastAsia="PT Serif" w:hAnsi="PT Serif" w:cs="PT Serif"/>
          <w:sz w:val="24"/>
          <w:szCs w:val="24"/>
          <w:lang w:eastAsia="ru-RU"/>
        </w:rPr>
        <w:t xml:space="preserve"> (урок окружающего мира, «Природные зоны Росси</w:t>
      </w:r>
      <w:r>
        <w:rPr>
          <w:rFonts w:ascii="PT Serif" w:eastAsia="PT Serif" w:hAnsi="PT Serif" w:cs="PT Serif"/>
          <w:sz w:val="24"/>
          <w:szCs w:val="24"/>
          <w:lang w:eastAsia="ru-RU"/>
        </w:rPr>
        <w:t xml:space="preserve">и»). На протяжении нескольких уроков дети заполняют тетрадь. Рисуют растения и животных, записывают температуру, обозначают маршрут на карте, фиксируют интересные факты. В конце каждый ученик выходит с готовым материалом. </w:t>
      </w:r>
    </w:p>
    <w:p w:rsidR="00CA5246" w:rsidRDefault="0019577D">
      <w:pPr>
        <w:widowControl w:val="0"/>
        <w:spacing w:after="0" w:line="360" w:lineRule="auto"/>
        <w:ind w:firstLine="709"/>
        <w:jc w:val="both"/>
        <w:rPr>
          <w:rFonts w:ascii="PT Serif" w:hAnsi="PT Serif" w:cs="PT Serif"/>
        </w:rPr>
      </w:pPr>
      <w:r>
        <w:rPr>
          <w:rFonts w:ascii="PT Serif" w:eastAsia="PT Serif" w:hAnsi="PT Serif" w:cs="PT Serif"/>
          <w:sz w:val="24"/>
          <w:szCs w:val="24"/>
          <w:lang w:eastAsia="ru-RU"/>
        </w:rPr>
        <w:t>Исследования показывают, что така</w:t>
      </w:r>
      <w:r>
        <w:rPr>
          <w:rFonts w:ascii="PT Serif" w:eastAsia="PT Serif" w:hAnsi="PT Serif" w:cs="PT Serif"/>
          <w:sz w:val="24"/>
          <w:szCs w:val="24"/>
          <w:lang w:eastAsia="ru-RU"/>
        </w:rPr>
        <w:t>я форма снижает тревожность перед письменной речью, позволяет визуализировать прогресс и создаёт «эффект накопления» достижений, что способствует укреплению уверенности ребёнка в своих силах.</w:t>
      </w:r>
    </w:p>
    <w:p w:rsidR="00CA5246" w:rsidRDefault="0019577D">
      <w:pPr>
        <w:widowControl w:val="0"/>
        <w:spacing w:after="0" w:line="360" w:lineRule="auto"/>
        <w:ind w:firstLine="709"/>
        <w:jc w:val="both"/>
        <w:rPr>
          <w:rFonts w:ascii="PT Serif" w:hAnsi="PT Serif" w:cs="PT Serif"/>
        </w:rPr>
      </w:pPr>
      <w:r>
        <w:rPr>
          <w:rFonts w:ascii="PT Serif" w:eastAsia="PT Serif" w:hAnsi="PT Serif" w:cs="PT Serif"/>
          <w:i/>
          <w:iCs/>
          <w:sz w:val="24"/>
          <w:szCs w:val="24"/>
          <w:lang w:eastAsia="ru-RU"/>
        </w:rPr>
        <w:t xml:space="preserve">Приём 4. </w:t>
      </w:r>
      <w:r>
        <w:rPr>
          <w:rFonts w:ascii="PT Serif" w:eastAsia="PT Serif" w:hAnsi="PT Serif" w:cs="PT Serif"/>
          <w:sz w:val="24"/>
          <w:szCs w:val="24"/>
          <w:lang w:eastAsia="ru-RU"/>
        </w:rPr>
        <w:t>«Рефлексивный круг». Завершающий этап любого образовате</w:t>
      </w:r>
      <w:r>
        <w:rPr>
          <w:rFonts w:ascii="PT Serif" w:eastAsia="PT Serif" w:hAnsi="PT Serif" w:cs="PT Serif"/>
          <w:sz w:val="24"/>
          <w:szCs w:val="24"/>
          <w:lang w:eastAsia="ru-RU"/>
        </w:rPr>
        <w:t xml:space="preserve">льного маршрута - коллективная  рефлексия, организованная в форме группового обсуждения. Дети садятся в круг и по очереди высказываются о своём опыте. Учитель помогает структурировать высказывания через незаконченные предложения, но не даёт оценок.  Детям </w:t>
      </w:r>
      <w:r>
        <w:rPr>
          <w:rFonts w:ascii="PT Serif" w:eastAsia="PT Serif" w:hAnsi="PT Serif" w:cs="PT Serif"/>
          <w:sz w:val="24"/>
          <w:szCs w:val="24"/>
          <w:lang w:eastAsia="ru-RU"/>
        </w:rPr>
        <w:t xml:space="preserve">предлагаются незаконченные предложения: «Меня удивило…», «Теперь я хочу узнать…», «Самым трудным было…», «Я научился…». Как подчёркивает А.Г. </w:t>
      </w:r>
      <w:proofErr w:type="spellStart"/>
      <w:r>
        <w:rPr>
          <w:rFonts w:ascii="PT Serif" w:eastAsia="PT Serif" w:hAnsi="PT Serif" w:cs="PT Serif"/>
          <w:sz w:val="24"/>
          <w:szCs w:val="24"/>
          <w:lang w:eastAsia="ru-RU"/>
        </w:rPr>
        <w:t>Асмолов</w:t>
      </w:r>
      <w:proofErr w:type="spellEnd"/>
      <w:r>
        <w:rPr>
          <w:rFonts w:ascii="PT Serif" w:eastAsia="PT Serif" w:hAnsi="PT Serif" w:cs="PT Serif"/>
          <w:sz w:val="24"/>
          <w:szCs w:val="24"/>
          <w:lang w:eastAsia="ru-RU"/>
        </w:rPr>
        <w:t xml:space="preserve"> (1), рефлексия является центральным механизмом формирования универсальных учебных действий, поскольку пере</w:t>
      </w:r>
      <w:r>
        <w:rPr>
          <w:rFonts w:ascii="PT Serif" w:eastAsia="PT Serif" w:hAnsi="PT Serif" w:cs="PT Serif"/>
          <w:sz w:val="24"/>
          <w:szCs w:val="24"/>
          <w:lang w:eastAsia="ru-RU"/>
        </w:rPr>
        <w:t xml:space="preserve">водит внешнюю активность во внутреннюю оценку и осмысление. Именно на этом этапе происходит переход от внешней мотивации (сделал, потому что велели) к внутренней (понял, зачем это нужно лично мне). </w:t>
      </w:r>
    </w:p>
    <w:p w:rsidR="00CA5246" w:rsidRDefault="0019577D">
      <w:pPr>
        <w:widowControl w:val="0"/>
        <w:spacing w:after="0" w:line="360" w:lineRule="auto"/>
        <w:ind w:firstLine="709"/>
        <w:jc w:val="both"/>
        <w:rPr>
          <w:rFonts w:ascii="PT Serif" w:hAnsi="PT Serif" w:cs="PT Serif"/>
        </w:rPr>
      </w:pPr>
      <w:r>
        <w:rPr>
          <w:rFonts w:ascii="PT Serif" w:eastAsia="PT Serif" w:hAnsi="PT Serif" w:cs="PT Serif"/>
          <w:sz w:val="24"/>
          <w:szCs w:val="24"/>
          <w:lang w:eastAsia="ru-RU"/>
        </w:rPr>
        <w:t>Рефлексия не должна быть формальной. Это мост от внешнего</w:t>
      </w:r>
      <w:r>
        <w:rPr>
          <w:rFonts w:ascii="PT Serif" w:eastAsia="PT Serif" w:hAnsi="PT Serif" w:cs="PT Serif"/>
          <w:sz w:val="24"/>
          <w:szCs w:val="24"/>
          <w:lang w:eastAsia="ru-RU"/>
        </w:rPr>
        <w:t xml:space="preserve"> действия к внутреннему осмыслению. Когда ребенок проговаривает свои открытия и трудности, они становятся его личным опытом, а не просто пройденной темой. Кроме того «рефлексивный круг» создаёт атмосферу доверия, где каждый ребенок становится значимым, что</w:t>
      </w:r>
      <w:r>
        <w:rPr>
          <w:rFonts w:ascii="PT Serif" w:eastAsia="PT Serif" w:hAnsi="PT Serif" w:cs="PT Serif"/>
          <w:sz w:val="24"/>
          <w:szCs w:val="24"/>
          <w:lang w:eastAsia="ru-RU"/>
        </w:rPr>
        <w:t xml:space="preserve"> крайне важно для детей с заниженной самооценкой. </w:t>
      </w:r>
    </w:p>
    <w:p w:rsidR="00CA5246" w:rsidRDefault="0019577D">
      <w:pPr>
        <w:widowControl w:val="0"/>
        <w:spacing w:after="0" w:line="360" w:lineRule="auto"/>
        <w:ind w:firstLine="709"/>
        <w:jc w:val="both"/>
        <w:rPr>
          <w:rFonts w:ascii="PT Serif" w:hAnsi="PT Serif" w:cs="PT Serif"/>
        </w:rPr>
      </w:pPr>
      <w:r>
        <w:rPr>
          <w:rFonts w:ascii="PT Serif" w:eastAsia="PT Serif" w:hAnsi="PT Serif" w:cs="PT Serif"/>
          <w:sz w:val="24"/>
          <w:szCs w:val="24"/>
          <w:lang w:eastAsia="ru-RU"/>
        </w:rPr>
        <w:t>Внедрение данных приёмов подтвердило их универсальность: они успешно применялись на уроках литературного чтения (путешествие по сказкам), окружающего мира (экспедиция по природным зонам), математики (поиск</w:t>
      </w:r>
      <w:r>
        <w:rPr>
          <w:rFonts w:ascii="PT Serif" w:eastAsia="PT Serif" w:hAnsi="PT Serif" w:cs="PT Serif"/>
          <w:sz w:val="24"/>
          <w:szCs w:val="24"/>
          <w:lang w:eastAsia="ru-RU"/>
        </w:rPr>
        <w:t xml:space="preserve"> сокровищ с координатами) и </w:t>
      </w:r>
      <w:r>
        <w:rPr>
          <w:rFonts w:ascii="PT Serif" w:eastAsia="PT Serif" w:hAnsi="PT Serif" w:cs="PT Serif"/>
          <w:sz w:val="24"/>
          <w:szCs w:val="24"/>
          <w:lang w:eastAsia="ru-RU"/>
        </w:rPr>
        <w:lastRenderedPageBreak/>
        <w:t xml:space="preserve">технологии (путь от сырья к изделию). При этом сохранялась единая структура: постановка проблемы → совместное </w:t>
      </w:r>
      <w:proofErr w:type="spellStart"/>
      <w:r>
        <w:rPr>
          <w:rFonts w:ascii="PT Serif" w:eastAsia="PT Serif" w:hAnsi="PT Serif" w:cs="PT Serif"/>
          <w:sz w:val="24"/>
          <w:szCs w:val="24"/>
          <w:lang w:eastAsia="ru-RU"/>
        </w:rPr>
        <w:t>маршрутирование</w:t>
      </w:r>
      <w:proofErr w:type="spellEnd"/>
      <w:r>
        <w:rPr>
          <w:rFonts w:ascii="PT Serif" w:eastAsia="PT Serif" w:hAnsi="PT Serif" w:cs="PT Serif"/>
          <w:sz w:val="24"/>
          <w:szCs w:val="24"/>
          <w:lang w:eastAsia="ru-RU"/>
        </w:rPr>
        <w:t xml:space="preserve"> → прохождение этапов → рефлексия.</w:t>
      </w:r>
    </w:p>
    <w:p w:rsidR="00CA5246" w:rsidRDefault="0019577D">
      <w:pPr>
        <w:widowControl w:val="0"/>
        <w:spacing w:after="0" w:line="360" w:lineRule="auto"/>
        <w:ind w:firstLine="709"/>
        <w:jc w:val="both"/>
        <w:rPr>
          <w:rFonts w:ascii="PT Serif" w:hAnsi="PT Serif" w:cs="PT Serif"/>
        </w:rPr>
      </w:pPr>
      <w:r>
        <w:rPr>
          <w:rFonts w:ascii="PT Serif" w:eastAsia="PT Serif" w:hAnsi="PT Serif" w:cs="PT Serif"/>
          <w:sz w:val="24"/>
          <w:szCs w:val="24"/>
          <w:lang w:eastAsia="ru-RU"/>
        </w:rPr>
        <w:t>Приёмы организации образовательного маршрута являются эффективным ин</w:t>
      </w:r>
      <w:r>
        <w:rPr>
          <w:rFonts w:ascii="PT Serif" w:eastAsia="PT Serif" w:hAnsi="PT Serif" w:cs="PT Serif"/>
          <w:sz w:val="24"/>
          <w:szCs w:val="24"/>
          <w:lang w:eastAsia="ru-RU"/>
        </w:rPr>
        <w:t xml:space="preserve">струментом преодоления учебной </w:t>
      </w:r>
      <w:proofErr w:type="spellStart"/>
      <w:r>
        <w:rPr>
          <w:rFonts w:ascii="PT Serif" w:eastAsia="PT Serif" w:hAnsi="PT Serif" w:cs="PT Serif"/>
          <w:sz w:val="24"/>
          <w:szCs w:val="24"/>
          <w:lang w:eastAsia="ru-RU"/>
        </w:rPr>
        <w:t>демотивации</w:t>
      </w:r>
      <w:proofErr w:type="spellEnd"/>
      <w:r>
        <w:rPr>
          <w:rFonts w:ascii="PT Serif" w:eastAsia="PT Serif" w:hAnsi="PT Serif" w:cs="PT Serif"/>
          <w:sz w:val="24"/>
          <w:szCs w:val="24"/>
          <w:lang w:eastAsia="ru-RU"/>
        </w:rPr>
        <w:t xml:space="preserve"> у младших школьников и позволяют работать со всеми категориями детей. Универсальность этих инструментов позволяет учителю не перекраивать </w:t>
      </w:r>
      <w:proofErr w:type="gramStart"/>
      <w:r>
        <w:rPr>
          <w:rFonts w:ascii="PT Serif" w:eastAsia="PT Serif" w:hAnsi="PT Serif" w:cs="PT Serif"/>
          <w:sz w:val="24"/>
          <w:szCs w:val="24"/>
          <w:lang w:eastAsia="ru-RU"/>
        </w:rPr>
        <w:t>программу</w:t>
      </w:r>
      <w:proofErr w:type="gramEnd"/>
      <w:r>
        <w:rPr>
          <w:rFonts w:ascii="PT Serif" w:eastAsia="PT Serif" w:hAnsi="PT Serif" w:cs="PT Serif"/>
          <w:sz w:val="24"/>
          <w:szCs w:val="24"/>
          <w:lang w:eastAsia="ru-RU"/>
        </w:rPr>
        <w:t xml:space="preserve"> а органично вписывать их в существующий учебный план. </w:t>
      </w:r>
    </w:p>
    <w:p w:rsidR="00CA5246" w:rsidRDefault="0019577D">
      <w:pPr>
        <w:widowControl w:val="0"/>
        <w:spacing w:after="0" w:line="360" w:lineRule="auto"/>
        <w:ind w:firstLine="709"/>
        <w:jc w:val="both"/>
        <w:rPr>
          <w:rFonts w:ascii="PT Serif" w:hAnsi="PT Serif" w:cs="PT Serif"/>
        </w:rPr>
      </w:pPr>
      <w:r>
        <w:rPr>
          <w:rFonts w:ascii="PT Serif" w:eastAsia="PT Serif" w:hAnsi="PT Serif" w:cs="PT Serif"/>
          <w:sz w:val="24"/>
          <w:szCs w:val="24"/>
          <w:lang w:eastAsia="ru-RU"/>
        </w:rPr>
        <w:t>Анализ нау</w:t>
      </w:r>
      <w:r>
        <w:rPr>
          <w:rFonts w:ascii="PT Serif" w:eastAsia="PT Serif" w:hAnsi="PT Serif" w:cs="PT Serif"/>
          <w:sz w:val="24"/>
          <w:szCs w:val="24"/>
          <w:lang w:eastAsia="ru-RU"/>
        </w:rPr>
        <w:t xml:space="preserve">чно - методической работы и внедрение данных приёмов на практике позволяет утверждать, что они обладают рядом ключевых преимуществ: </w:t>
      </w:r>
    </w:p>
    <w:p w:rsidR="00CA5246" w:rsidRDefault="0019577D">
      <w:pPr>
        <w:widowControl w:val="0"/>
        <w:spacing w:after="0" w:line="360" w:lineRule="auto"/>
        <w:ind w:firstLine="709"/>
        <w:jc w:val="both"/>
        <w:rPr>
          <w:rFonts w:ascii="PT Serif" w:hAnsi="PT Serif" w:cs="PT Serif"/>
        </w:rPr>
      </w:pPr>
      <w:r>
        <w:rPr>
          <w:rFonts w:ascii="PT Serif" w:eastAsia="PT Serif" w:hAnsi="PT Serif" w:cs="PT Serif"/>
          <w:sz w:val="24"/>
          <w:szCs w:val="24"/>
          <w:lang w:eastAsia="ru-RU"/>
        </w:rPr>
        <w:t xml:space="preserve">1)возвращают ребёнку </w:t>
      </w:r>
      <w:proofErr w:type="gramStart"/>
      <w:r>
        <w:rPr>
          <w:rFonts w:ascii="PT Serif" w:eastAsia="PT Serif" w:hAnsi="PT Serif" w:cs="PT Serif"/>
          <w:sz w:val="24"/>
          <w:szCs w:val="24"/>
          <w:lang w:eastAsia="ru-RU"/>
        </w:rPr>
        <w:t>к</w:t>
      </w:r>
      <w:proofErr w:type="gramEnd"/>
      <w:r>
        <w:rPr>
          <w:rFonts w:ascii="PT Serif" w:eastAsia="PT Serif" w:hAnsi="PT Serif" w:cs="PT Serif"/>
          <w:sz w:val="24"/>
          <w:szCs w:val="24"/>
          <w:lang w:eastAsia="ru-RU"/>
        </w:rPr>
        <w:t xml:space="preserve"> самостоятельному  целеполаганию; </w:t>
      </w:r>
    </w:p>
    <w:p w:rsidR="00CA5246" w:rsidRDefault="0019577D">
      <w:pPr>
        <w:widowControl w:val="0"/>
        <w:spacing w:after="0" w:line="360" w:lineRule="auto"/>
        <w:ind w:firstLine="709"/>
        <w:jc w:val="both"/>
        <w:rPr>
          <w:rFonts w:ascii="PT Serif" w:hAnsi="PT Serif" w:cs="PT Serif"/>
        </w:rPr>
      </w:pPr>
      <w:r>
        <w:rPr>
          <w:rFonts w:ascii="PT Serif" w:eastAsia="PT Serif" w:hAnsi="PT Serif" w:cs="PT Serif"/>
          <w:sz w:val="24"/>
          <w:szCs w:val="24"/>
          <w:lang w:eastAsia="ru-RU"/>
        </w:rPr>
        <w:t xml:space="preserve">2) снижают тревожность и страх ошибки за счёт </w:t>
      </w:r>
      <w:proofErr w:type="gramStart"/>
      <w:r>
        <w:rPr>
          <w:rFonts w:ascii="PT Serif" w:eastAsia="PT Serif" w:hAnsi="PT Serif" w:cs="PT Serif"/>
          <w:sz w:val="24"/>
          <w:szCs w:val="24"/>
          <w:lang w:eastAsia="ru-RU"/>
        </w:rPr>
        <w:t>выбора уровня сложно</w:t>
      </w:r>
      <w:r>
        <w:rPr>
          <w:rFonts w:ascii="PT Serif" w:eastAsia="PT Serif" w:hAnsi="PT Serif" w:cs="PT Serif"/>
          <w:sz w:val="24"/>
          <w:szCs w:val="24"/>
          <w:lang w:eastAsia="ru-RU"/>
        </w:rPr>
        <w:t>сти  заданий</w:t>
      </w:r>
      <w:proofErr w:type="gramEnd"/>
      <w:r>
        <w:rPr>
          <w:rFonts w:ascii="PT Serif" w:eastAsia="PT Serif" w:hAnsi="PT Serif" w:cs="PT Serif"/>
          <w:sz w:val="24"/>
          <w:szCs w:val="24"/>
          <w:lang w:eastAsia="ru-RU"/>
        </w:rPr>
        <w:t xml:space="preserve"> и работы в группе;</w:t>
      </w:r>
    </w:p>
    <w:p w:rsidR="00CA5246" w:rsidRDefault="0019577D">
      <w:pPr>
        <w:widowControl w:val="0"/>
        <w:spacing w:after="0" w:line="360" w:lineRule="auto"/>
        <w:ind w:firstLine="709"/>
        <w:jc w:val="both"/>
        <w:rPr>
          <w:rFonts w:ascii="PT Serif" w:hAnsi="PT Serif" w:cs="PT Serif"/>
        </w:rPr>
      </w:pPr>
      <w:r>
        <w:rPr>
          <w:rFonts w:ascii="PT Serif" w:eastAsia="PT Serif" w:hAnsi="PT Serif" w:cs="PT Serif"/>
          <w:sz w:val="24"/>
          <w:szCs w:val="24"/>
          <w:lang w:eastAsia="ru-RU"/>
        </w:rPr>
        <w:t>3) создают условия для эмоционального присвоения учебного материала,  знания становятся частью личного опыта;</w:t>
      </w:r>
    </w:p>
    <w:p w:rsidR="00CA5246" w:rsidRDefault="0019577D">
      <w:pPr>
        <w:widowControl w:val="0"/>
        <w:spacing w:after="0" w:line="360" w:lineRule="auto"/>
        <w:ind w:firstLine="709"/>
        <w:jc w:val="both"/>
        <w:rPr>
          <w:rFonts w:ascii="PT Serif" w:hAnsi="PT Serif" w:cs="PT Serif"/>
        </w:rPr>
      </w:pPr>
      <w:r>
        <w:rPr>
          <w:rFonts w:ascii="PT Serif" w:eastAsia="PT Serif" w:hAnsi="PT Serif" w:cs="PT Serif"/>
          <w:sz w:val="24"/>
          <w:szCs w:val="24"/>
          <w:lang w:eastAsia="ru-RU"/>
        </w:rPr>
        <w:t>4) обеспечивают формирование регулятивных и коммуникативных универсальных учебных действий;</w:t>
      </w:r>
    </w:p>
    <w:p w:rsidR="00CA5246" w:rsidRDefault="0019577D">
      <w:pPr>
        <w:widowControl w:val="0"/>
        <w:spacing w:after="0" w:line="360" w:lineRule="auto"/>
        <w:ind w:firstLine="709"/>
        <w:jc w:val="both"/>
        <w:rPr>
          <w:rFonts w:ascii="PT Serif" w:hAnsi="PT Serif" w:cs="PT Serif"/>
        </w:rPr>
      </w:pPr>
      <w:r>
        <w:rPr>
          <w:rFonts w:ascii="PT Serif" w:eastAsia="PT Serif" w:hAnsi="PT Serif" w:cs="PT Serif"/>
          <w:sz w:val="24"/>
          <w:szCs w:val="24"/>
          <w:lang w:eastAsia="ru-RU"/>
        </w:rPr>
        <w:t>5) повышают общую успе</w:t>
      </w:r>
      <w:r>
        <w:rPr>
          <w:rFonts w:ascii="PT Serif" w:eastAsia="PT Serif" w:hAnsi="PT Serif" w:cs="PT Serif"/>
          <w:sz w:val="24"/>
          <w:szCs w:val="24"/>
          <w:lang w:eastAsia="ru-RU"/>
        </w:rPr>
        <w:t xml:space="preserve">ваемость за счёт возросшего интереса и </w:t>
      </w:r>
      <w:proofErr w:type="spellStart"/>
      <w:r>
        <w:rPr>
          <w:rFonts w:ascii="PT Serif" w:eastAsia="PT Serif" w:hAnsi="PT Serif" w:cs="PT Serif"/>
          <w:sz w:val="24"/>
          <w:szCs w:val="24"/>
          <w:lang w:eastAsia="ru-RU"/>
        </w:rPr>
        <w:t>вовлечённости</w:t>
      </w:r>
      <w:proofErr w:type="spellEnd"/>
      <w:r>
        <w:rPr>
          <w:rFonts w:ascii="PT Serif" w:eastAsia="PT Serif" w:hAnsi="PT Serif" w:cs="PT Serif"/>
          <w:sz w:val="24"/>
          <w:szCs w:val="24"/>
          <w:lang w:eastAsia="ru-RU"/>
        </w:rPr>
        <w:t xml:space="preserve"> без дополнительного давления. </w:t>
      </w:r>
    </w:p>
    <w:p w:rsidR="00CA5246" w:rsidRDefault="0019577D">
      <w:pPr>
        <w:widowControl w:val="0"/>
        <w:spacing w:after="0" w:line="360" w:lineRule="auto"/>
        <w:ind w:firstLine="709"/>
        <w:jc w:val="both"/>
        <w:rPr>
          <w:rFonts w:ascii="PT Serif" w:hAnsi="PT Serif" w:cs="PT Serif"/>
        </w:rPr>
      </w:pPr>
      <w:r>
        <w:rPr>
          <w:rFonts w:ascii="PT Serif" w:eastAsia="PT Serif" w:hAnsi="PT Serif" w:cs="PT Serif"/>
          <w:sz w:val="24"/>
          <w:szCs w:val="24"/>
          <w:lang w:eastAsia="ru-RU"/>
        </w:rPr>
        <w:t xml:space="preserve">Практическая значимость статьи состоит в том, что каждый описанный  приём может быть использован учителем в начальной школы </w:t>
      </w:r>
      <w:proofErr w:type="gramStart"/>
      <w:r>
        <w:rPr>
          <w:rFonts w:ascii="PT Serif" w:eastAsia="PT Serif" w:hAnsi="PT Serif" w:cs="PT Serif"/>
          <w:sz w:val="24"/>
          <w:szCs w:val="24"/>
          <w:lang w:eastAsia="ru-RU"/>
        </w:rPr>
        <w:t>в</w:t>
      </w:r>
      <w:proofErr w:type="gramEnd"/>
      <w:r>
        <w:rPr>
          <w:rFonts w:ascii="PT Serif" w:eastAsia="PT Serif" w:hAnsi="PT Serif" w:cs="PT Serif"/>
          <w:sz w:val="24"/>
          <w:szCs w:val="24"/>
          <w:lang w:eastAsia="ru-RU"/>
        </w:rPr>
        <w:t xml:space="preserve"> </w:t>
      </w:r>
      <w:proofErr w:type="gramStart"/>
      <w:r>
        <w:rPr>
          <w:rFonts w:ascii="PT Serif" w:eastAsia="PT Serif" w:hAnsi="PT Serif" w:cs="PT Serif"/>
          <w:sz w:val="24"/>
          <w:szCs w:val="24"/>
          <w:lang w:eastAsia="ru-RU"/>
        </w:rPr>
        <w:t>повседневной</w:t>
      </w:r>
      <w:proofErr w:type="gramEnd"/>
      <w:r>
        <w:rPr>
          <w:rFonts w:ascii="PT Serif" w:eastAsia="PT Serif" w:hAnsi="PT Serif" w:cs="PT Serif"/>
          <w:sz w:val="24"/>
          <w:szCs w:val="24"/>
          <w:lang w:eastAsia="ru-RU"/>
        </w:rPr>
        <w:t xml:space="preserve"> работе без дополнительной подгото</w:t>
      </w:r>
      <w:r>
        <w:rPr>
          <w:rFonts w:ascii="PT Serif" w:eastAsia="PT Serif" w:hAnsi="PT Serif" w:cs="PT Serif"/>
          <w:sz w:val="24"/>
          <w:szCs w:val="24"/>
          <w:lang w:eastAsia="ru-RU"/>
        </w:rPr>
        <w:t xml:space="preserve">вки. </w:t>
      </w:r>
    </w:p>
    <w:p w:rsidR="00CA5246" w:rsidRDefault="0019577D">
      <w:pPr>
        <w:widowControl w:val="0"/>
        <w:spacing w:after="0" w:line="360" w:lineRule="auto"/>
        <w:ind w:firstLine="709"/>
        <w:jc w:val="both"/>
        <w:rPr>
          <w:rFonts w:ascii="PT Serif" w:hAnsi="PT Serif" w:cs="PT Serif"/>
        </w:rPr>
      </w:pPr>
      <w:r>
        <w:rPr>
          <w:rFonts w:ascii="PT Serif" w:eastAsia="PT Serif" w:hAnsi="PT Serif" w:cs="PT Serif"/>
          <w:sz w:val="24"/>
          <w:szCs w:val="24"/>
          <w:lang w:eastAsia="ru-RU"/>
        </w:rPr>
        <w:t>Перспективы дальнейших исследований видятся в разработке цифрового инструментария для организации образовательных маршрутов и в изучении влияния данных приёмов на долгосрочную учебную мотивацию в средней школе.</w:t>
      </w:r>
    </w:p>
    <w:p w:rsidR="0059584C" w:rsidRDefault="0059584C">
      <w:pPr>
        <w:widowControl w:val="0"/>
        <w:spacing w:after="0" w:line="360" w:lineRule="auto"/>
        <w:ind w:firstLine="709"/>
        <w:rPr>
          <w:rFonts w:ascii="PT Serif" w:eastAsia="PT Serif" w:hAnsi="PT Serif" w:cs="PT Serif"/>
          <w:sz w:val="24"/>
          <w:szCs w:val="24"/>
          <w:lang w:eastAsia="ru-RU"/>
        </w:rPr>
      </w:pPr>
    </w:p>
    <w:p w:rsidR="00CA5246" w:rsidRPr="0059584C" w:rsidRDefault="0019577D">
      <w:pPr>
        <w:widowControl w:val="0"/>
        <w:spacing w:after="0" w:line="360" w:lineRule="auto"/>
        <w:ind w:firstLine="709"/>
        <w:rPr>
          <w:rFonts w:ascii="PT Serif" w:hAnsi="PT Serif" w:cs="PT Serif"/>
          <w:b/>
          <w:sz w:val="24"/>
          <w:szCs w:val="24"/>
        </w:rPr>
      </w:pPr>
      <w:bookmarkStart w:id="0" w:name="_GoBack"/>
      <w:r w:rsidRPr="0059584C">
        <w:rPr>
          <w:rFonts w:ascii="PT Serif" w:eastAsia="PT Serif" w:hAnsi="PT Serif" w:cs="PT Serif"/>
          <w:b/>
          <w:sz w:val="24"/>
          <w:szCs w:val="24"/>
          <w:lang w:eastAsia="ru-RU"/>
        </w:rPr>
        <w:t>Список литературы:</w:t>
      </w:r>
    </w:p>
    <w:bookmarkEnd w:id="0"/>
    <w:p w:rsidR="00CA5246" w:rsidRDefault="0019577D">
      <w:pPr>
        <w:widowControl w:val="0"/>
        <w:numPr>
          <w:ilvl w:val="0"/>
          <w:numId w:val="1"/>
        </w:numPr>
        <w:spacing w:after="0" w:line="360" w:lineRule="auto"/>
        <w:rPr>
          <w:rFonts w:ascii="PT Serif" w:hAnsi="PT Serif" w:cs="PT Serif"/>
          <w:sz w:val="24"/>
          <w:szCs w:val="24"/>
        </w:rPr>
      </w:pPr>
      <w:r>
        <w:rPr>
          <w:rFonts w:ascii="PT Serif" w:eastAsia="PT Serif" w:hAnsi="PT Serif" w:cs="PT Serif"/>
          <w:sz w:val="24"/>
          <w:szCs w:val="24"/>
          <w:lang w:eastAsia="ru-RU"/>
        </w:rPr>
        <w:t xml:space="preserve"> </w:t>
      </w:r>
      <w:proofErr w:type="spellStart"/>
      <w:r>
        <w:rPr>
          <w:rFonts w:ascii="PT Serif" w:eastAsia="PT Serif" w:hAnsi="PT Serif" w:cs="PT Serif"/>
          <w:sz w:val="24"/>
          <w:szCs w:val="24"/>
          <w:lang w:eastAsia="ru-RU"/>
        </w:rPr>
        <w:t>Асмолов</w:t>
      </w:r>
      <w:proofErr w:type="spellEnd"/>
      <w:r>
        <w:rPr>
          <w:rFonts w:ascii="PT Serif" w:eastAsia="PT Serif" w:hAnsi="PT Serif" w:cs="PT Serif"/>
          <w:sz w:val="24"/>
          <w:szCs w:val="24"/>
          <w:lang w:eastAsia="ru-RU"/>
        </w:rPr>
        <w:t xml:space="preserve"> А.Г., </w:t>
      </w:r>
      <w:proofErr w:type="spellStart"/>
      <w:r>
        <w:rPr>
          <w:rFonts w:ascii="PT Serif" w:eastAsia="PT Serif" w:hAnsi="PT Serif" w:cs="PT Serif"/>
          <w:sz w:val="24"/>
          <w:szCs w:val="24"/>
          <w:lang w:eastAsia="ru-RU"/>
        </w:rPr>
        <w:t>Бурме</w:t>
      </w:r>
      <w:r>
        <w:rPr>
          <w:rFonts w:ascii="PT Serif" w:eastAsia="PT Serif" w:hAnsi="PT Serif" w:cs="PT Serif"/>
          <w:sz w:val="24"/>
          <w:szCs w:val="24"/>
          <w:lang w:eastAsia="ru-RU"/>
        </w:rPr>
        <w:t>нская</w:t>
      </w:r>
      <w:proofErr w:type="spellEnd"/>
      <w:r>
        <w:rPr>
          <w:rFonts w:ascii="PT Serif" w:eastAsia="PT Serif" w:hAnsi="PT Serif" w:cs="PT Serif"/>
          <w:sz w:val="24"/>
          <w:szCs w:val="24"/>
          <w:lang w:eastAsia="ru-RU"/>
        </w:rPr>
        <w:t xml:space="preserve"> Г.В., Володарская И.А. и др. Формирование универсальных учебных действий в основной школе: от действия к мысли. – М.: Просвещение, 2011. – 152 с.</w:t>
      </w:r>
    </w:p>
    <w:p w:rsidR="00CA5246" w:rsidRDefault="0019577D">
      <w:pPr>
        <w:widowControl w:val="0"/>
        <w:numPr>
          <w:ilvl w:val="0"/>
          <w:numId w:val="1"/>
        </w:numPr>
        <w:spacing w:after="0" w:line="360" w:lineRule="auto"/>
        <w:rPr>
          <w:rFonts w:ascii="PT Serif" w:hAnsi="PT Serif" w:cs="PT Serif"/>
          <w:sz w:val="24"/>
          <w:szCs w:val="24"/>
        </w:rPr>
      </w:pPr>
      <w:r>
        <w:rPr>
          <w:rFonts w:ascii="PT Serif" w:eastAsia="PT Serif" w:hAnsi="PT Serif" w:cs="PT Serif"/>
          <w:sz w:val="24"/>
          <w:szCs w:val="24"/>
          <w:lang w:eastAsia="ru-RU"/>
        </w:rPr>
        <w:t>Выготский Л.С. Мышление и речь. – М.: Лабиринт, 1999. – 352 с.</w:t>
      </w:r>
    </w:p>
    <w:p w:rsidR="00CA5246" w:rsidRDefault="0019577D">
      <w:pPr>
        <w:widowControl w:val="0"/>
        <w:numPr>
          <w:ilvl w:val="0"/>
          <w:numId w:val="1"/>
        </w:numPr>
        <w:spacing w:after="0" w:line="360" w:lineRule="auto"/>
        <w:rPr>
          <w:rFonts w:ascii="PT Serif" w:hAnsi="PT Serif" w:cs="PT Serif"/>
          <w:sz w:val="24"/>
          <w:szCs w:val="24"/>
        </w:rPr>
      </w:pPr>
      <w:r>
        <w:rPr>
          <w:rFonts w:ascii="PT Serif" w:eastAsia="PT Serif" w:hAnsi="PT Serif" w:cs="PT Serif"/>
          <w:sz w:val="24"/>
          <w:szCs w:val="24"/>
          <w:lang w:eastAsia="ru-RU"/>
        </w:rPr>
        <w:t xml:space="preserve">Ковалёва Т.М., Рыбалкина Н.В. </w:t>
      </w:r>
      <w:proofErr w:type="spellStart"/>
      <w:r>
        <w:rPr>
          <w:rFonts w:ascii="PT Serif" w:eastAsia="PT Serif" w:hAnsi="PT Serif" w:cs="PT Serif"/>
          <w:sz w:val="24"/>
          <w:szCs w:val="24"/>
          <w:lang w:eastAsia="ru-RU"/>
        </w:rPr>
        <w:t>Тьюторское</w:t>
      </w:r>
      <w:proofErr w:type="spellEnd"/>
      <w:r>
        <w:rPr>
          <w:rFonts w:ascii="PT Serif" w:eastAsia="PT Serif" w:hAnsi="PT Serif" w:cs="PT Serif"/>
          <w:sz w:val="24"/>
          <w:szCs w:val="24"/>
          <w:lang w:eastAsia="ru-RU"/>
        </w:rPr>
        <w:t xml:space="preserve"> </w:t>
      </w:r>
      <w:r>
        <w:rPr>
          <w:rFonts w:ascii="PT Serif" w:eastAsia="PT Serif" w:hAnsi="PT Serif" w:cs="PT Serif"/>
          <w:sz w:val="24"/>
          <w:szCs w:val="24"/>
          <w:lang w:eastAsia="ru-RU"/>
        </w:rPr>
        <w:t xml:space="preserve">сопровождение в образовании. – М.: </w:t>
      </w:r>
      <w:proofErr w:type="spellStart"/>
      <w:r>
        <w:rPr>
          <w:rFonts w:ascii="PT Serif" w:eastAsia="PT Serif" w:hAnsi="PT Serif" w:cs="PT Serif"/>
          <w:sz w:val="24"/>
          <w:szCs w:val="24"/>
          <w:lang w:eastAsia="ru-RU"/>
        </w:rPr>
        <w:t>АПКиППРО</w:t>
      </w:r>
      <w:proofErr w:type="spellEnd"/>
      <w:r>
        <w:rPr>
          <w:rFonts w:ascii="PT Serif" w:eastAsia="PT Serif" w:hAnsi="PT Serif" w:cs="PT Serif"/>
          <w:sz w:val="24"/>
          <w:szCs w:val="24"/>
          <w:lang w:eastAsia="ru-RU"/>
        </w:rPr>
        <w:t>, 2015. – 208 с.</w:t>
      </w:r>
    </w:p>
    <w:p w:rsidR="00CA5246" w:rsidRDefault="0019577D">
      <w:pPr>
        <w:widowControl w:val="0"/>
        <w:numPr>
          <w:ilvl w:val="0"/>
          <w:numId w:val="1"/>
        </w:numPr>
        <w:spacing w:after="0" w:line="360" w:lineRule="auto"/>
        <w:rPr>
          <w:rFonts w:ascii="PT Serif" w:hAnsi="PT Serif" w:cs="PT Serif"/>
          <w:sz w:val="24"/>
          <w:szCs w:val="24"/>
        </w:rPr>
      </w:pPr>
      <w:r>
        <w:rPr>
          <w:rFonts w:ascii="PT Serif" w:eastAsia="PT Serif" w:hAnsi="PT Serif" w:cs="PT Serif"/>
          <w:sz w:val="24"/>
          <w:szCs w:val="24"/>
          <w:lang w:eastAsia="ru-RU"/>
        </w:rPr>
        <w:t>Леонтьев А.Н. Деятельность. Сознание. Личность. – М.: Смысл, 2005. – 352 с.</w:t>
      </w:r>
    </w:p>
    <w:p w:rsidR="00CA5246" w:rsidRDefault="0019577D">
      <w:pPr>
        <w:widowControl w:val="0"/>
        <w:numPr>
          <w:ilvl w:val="0"/>
          <w:numId w:val="1"/>
        </w:numPr>
        <w:spacing w:after="0" w:line="360" w:lineRule="auto"/>
        <w:rPr>
          <w:sz w:val="24"/>
          <w:szCs w:val="24"/>
        </w:rPr>
      </w:pPr>
      <w:r>
        <w:rPr>
          <w:rFonts w:ascii="PT Serif" w:eastAsia="PT Serif" w:hAnsi="PT Serif" w:cs="PT Serif"/>
          <w:sz w:val="24"/>
          <w:szCs w:val="24"/>
          <w:lang w:eastAsia="ru-RU"/>
        </w:rPr>
        <w:t xml:space="preserve">Феоктистова В.Ф. Исследовательская и проектная деятельность младших </w:t>
      </w:r>
      <w:r>
        <w:rPr>
          <w:rFonts w:ascii="PT Serif" w:eastAsia="PT Serif" w:hAnsi="PT Serif" w:cs="PT Serif"/>
          <w:sz w:val="24"/>
          <w:szCs w:val="24"/>
          <w:lang w:eastAsia="ru-RU"/>
        </w:rPr>
        <w:lastRenderedPageBreak/>
        <w:t xml:space="preserve">школьников. Рекомендации. Волгоград, 2011. – № 3. – </w:t>
      </w:r>
      <w:proofErr w:type="gramStart"/>
      <w:r>
        <w:rPr>
          <w:rFonts w:ascii="PT Serif" w:eastAsia="PT Serif" w:hAnsi="PT Serif" w:cs="PT Serif"/>
          <w:sz w:val="24"/>
          <w:szCs w:val="24"/>
          <w:lang w:eastAsia="ru-RU"/>
        </w:rPr>
        <w:t>С. 112–120.</w:t>
      </w:r>
      <w:proofErr w:type="gramEnd"/>
      <w:r>
        <w:rPr>
          <w:rFonts w:ascii="PT Serif" w:eastAsia="PT Serif" w:hAnsi="PT Serif" w:cs="PT Serif"/>
          <w:sz w:val="24"/>
          <w:szCs w:val="24"/>
        </w:rPr>
        <w:t xml:space="preserve">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</w:t>
      </w:r>
    </w:p>
    <w:sectPr w:rsidR="00CA5246">
      <w:footerReference w:type="default" r:id="rId9"/>
      <w:pgSz w:w="11906" w:h="16838"/>
      <w:pgMar w:top="851" w:right="1134" w:bottom="1866" w:left="1134" w:header="0" w:footer="1134" w:gutter="0"/>
      <w:cols w:space="170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9577D" w:rsidRDefault="0019577D">
      <w:pPr>
        <w:spacing w:after="0" w:line="240" w:lineRule="auto"/>
      </w:pPr>
      <w:r>
        <w:separator/>
      </w:r>
    </w:p>
  </w:endnote>
  <w:endnote w:type="continuationSeparator" w:id="0">
    <w:p w:rsidR="0019577D" w:rsidRDefault="0019577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PT Astra Serif">
    <w:altName w:val="Times New Roman"/>
    <w:charset w:val="00"/>
    <w:family w:val="auto"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Noto Sans Devanagari">
    <w:altName w:val="Vrinda"/>
    <w:charset w:val="00"/>
    <w:family w:val="auto"/>
    <w:pitch w:val="default"/>
  </w:font>
  <w:font w:name="PT Serif">
    <w:altName w:val="Times New Roman"/>
    <w:charset w:val="00"/>
    <w:family w:val="auto"/>
    <w:pitch w:val="default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A5246" w:rsidRDefault="0019577D">
    <w:pPr>
      <w:pStyle w:val="ad"/>
      <w:jc w:val="center"/>
    </w:pPr>
    <w:r>
      <w:fldChar w:fldCharType="begin"/>
    </w:r>
    <w:r>
      <w:instrText xml:space="preserve"> PAGE </w:instrText>
    </w:r>
    <w:r>
      <w:fldChar w:fldCharType="separate"/>
    </w:r>
    <w:r w:rsidR="0059584C">
      <w:rPr>
        <w:noProof/>
      </w:rPr>
      <w:t>3</w:t>
    </w:r>
    <w: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9577D" w:rsidRDefault="0019577D">
      <w:pPr>
        <w:spacing w:after="0" w:line="240" w:lineRule="auto"/>
      </w:pPr>
      <w:r>
        <w:separator/>
      </w:r>
    </w:p>
  </w:footnote>
  <w:footnote w:type="continuationSeparator" w:id="0">
    <w:p w:rsidR="0019577D" w:rsidRDefault="0019577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FE67BA7"/>
    <w:multiLevelType w:val="hybridMultilevel"/>
    <w:tmpl w:val="ED962218"/>
    <w:lvl w:ilvl="0" w:tplc="5688362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/>
        <w:sz w:val="24"/>
        <w:szCs w:val="24"/>
      </w:rPr>
    </w:lvl>
    <w:lvl w:ilvl="1" w:tplc="16EA7806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ascii="Times New Roman" w:hAnsi="Times New Roman"/>
        <w:sz w:val="24"/>
        <w:szCs w:val="24"/>
      </w:rPr>
    </w:lvl>
    <w:lvl w:ilvl="2" w:tplc="15968A2A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ascii="Times New Roman" w:hAnsi="Times New Roman"/>
        <w:sz w:val="24"/>
        <w:szCs w:val="24"/>
      </w:rPr>
    </w:lvl>
    <w:lvl w:ilvl="3" w:tplc="E2267FF6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ascii="Times New Roman" w:hAnsi="Times New Roman"/>
        <w:sz w:val="24"/>
        <w:szCs w:val="24"/>
      </w:rPr>
    </w:lvl>
    <w:lvl w:ilvl="4" w:tplc="A5EA9B9A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ascii="Times New Roman" w:hAnsi="Times New Roman"/>
        <w:sz w:val="24"/>
        <w:szCs w:val="24"/>
      </w:rPr>
    </w:lvl>
    <w:lvl w:ilvl="5" w:tplc="E9B4642E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ascii="Times New Roman" w:hAnsi="Times New Roman"/>
        <w:sz w:val="24"/>
        <w:szCs w:val="24"/>
      </w:rPr>
    </w:lvl>
    <w:lvl w:ilvl="6" w:tplc="B810B3E8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ascii="Times New Roman" w:hAnsi="Times New Roman"/>
        <w:sz w:val="24"/>
        <w:szCs w:val="24"/>
      </w:rPr>
    </w:lvl>
    <w:lvl w:ilvl="7" w:tplc="3A3ED260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ascii="Times New Roman" w:hAnsi="Times New Roman"/>
        <w:sz w:val="24"/>
        <w:szCs w:val="24"/>
      </w:rPr>
    </w:lvl>
    <w:lvl w:ilvl="8" w:tplc="60643C3A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ascii="Times New Roman" w:hAnsi="Times New Roman"/>
        <w:sz w:val="24"/>
        <w:szCs w:val="24"/>
      </w:rPr>
    </w:lvl>
  </w:abstractNum>
  <w:abstractNum w:abstractNumId="1">
    <w:nsid w:val="63EE7D9F"/>
    <w:multiLevelType w:val="hybridMultilevel"/>
    <w:tmpl w:val="FC2CC3A2"/>
    <w:lvl w:ilvl="0" w:tplc="C22A434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 w:tplc="67D6E1B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 w:tplc="1F36D02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 w:tplc="133AE25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 w:tplc="6E842CA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 w:tplc="877C18D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 w:tplc="6442A8E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 w:tplc="F7BA4C0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 w:tplc="7C7C47C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A5246"/>
    <w:rsid w:val="0019577D"/>
    <w:rsid w:val="0059584C"/>
    <w:rsid w:val="00CA52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160" w:line="259" w:lineRule="auto"/>
    </w:p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No Spacing"/>
    <w:uiPriority w:val="1"/>
    <w:qFormat/>
  </w:style>
  <w:style w:type="paragraph" w:styleId="a4">
    <w:name w:val="Title"/>
    <w:basedOn w:val="a"/>
    <w:next w:val="a"/>
    <w:link w:val="a5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5">
    <w:name w:val="Название Знак"/>
    <w:basedOn w:val="a0"/>
    <w:link w:val="a4"/>
    <w:uiPriority w:val="1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pPr>
      <w:spacing w:before="200" w:after="200"/>
    </w:pPr>
    <w:rPr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paragraph" w:styleId="aa">
    <w:name w:val="header"/>
    <w:basedOn w:val="a"/>
    <w:link w:val="ab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ac">
    <w:name w:val="Нижний колонтитул Знак"/>
    <w:link w:val="ad"/>
    <w:uiPriority w:val="99"/>
  </w:style>
  <w:style w:type="table" w:styleId="ae">
    <w:name w:val="Table Grid"/>
    <w:basedOn w:val="a1"/>
    <w:uiPriority w:val="59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GridLight">
    <w:name w:val="Table Grid Light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customStyle="1" w:styleId="PlainTable1">
    <w:name w:val="Plain Table 1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tblPr>
      <w:tblStyleRowBandSize w:val="1"/>
      <w:tblStyleColBandSize w:val="1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tblPr>
      <w:tblStyleRowBandSize w:val="1"/>
      <w:tblStyleColBandSize w:val="1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tblPr>
      <w:tblStyleRowBandSize w:val="1"/>
      <w:tblStyleColBandSize w:val="1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8A2D8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tblPr>
      <w:tblStyleRowBandSize w:val="1"/>
      <w:tblStyleColBandSize w:val="1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472C4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GridTable3">
    <w:name w:val="Grid Table 3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tblPr>
      <w:tblStyleRowBandSize w:val="1"/>
      <w:tblStyleColBandSize w:val="1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tblPr>
      <w:tblStyleRowBandSize w:val="1"/>
      <w:tblStyleColBandSize w:val="1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GridTable4">
    <w:name w:val="Grid Table 4"/>
    <w:basedOn w:val="a1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tblPr>
      <w:tblStyleRowBandSize w:val="1"/>
      <w:tblStyleColBandSize w:val="1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  <w:insideV w:val="single" w:sz="4" w:space="0" w:color="A2C6E7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68A2D8" w:themeColor="accent1" w:themeTint="EA"/>
          <w:left w:val="single" w:sz="4" w:space="0" w:color="68A2D8" w:themeColor="accent1" w:themeTint="EA"/>
          <w:bottom w:val="single" w:sz="4" w:space="0" w:color="68A2D8" w:themeColor="accent1" w:themeTint="EA"/>
          <w:right w:val="single" w:sz="4" w:space="0" w:color="68A2D8" w:themeColor="accent1" w:themeTint="EA"/>
        </w:tcBorders>
        <w:shd w:val="clear" w:color="68A2D8" w:themeColor="accent1" w:themeTint="EA" w:fill="68A2D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tblPr>
      <w:tblStyleRowBandSize w:val="1"/>
      <w:tblStyleColBandSize w:val="1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</w:tcBorders>
        <w:shd w:val="clear" w:color="4472C4" w:themeColor="accent5" w:fill="4472C4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GridTable5Dark">
    <w:name w:val="Grid Table 5 Dark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1" w:themeTint="34" w:fill="DDEAF6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1" w:fill="5B9BD5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band1Vert">
      <w:tblPr/>
      <w:tcPr>
        <w:shd w:val="clear" w:color="B3D0EB" w:themeColor="accent1" w:themeTint="75" w:fill="B3D0EB" w:themeFill="accent1" w:themeFillTint="75"/>
      </w:tcPr>
    </w:tblStylePr>
    <w:tblStylePr w:type="band1Horz">
      <w:tblPr/>
      <w:tcPr>
        <w:shd w:val="clear" w:color="B3D0EB" w:themeColor="accent1" w:themeTint="75" w:fill="B3D0EB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FBE5D6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ED7D31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band1Vert">
      <w:tblPr/>
      <w:tcPr>
        <w:shd w:val="clear" w:color="F6C3A0" w:themeColor="accent2" w:themeTint="75" w:fill="F6C3A0" w:themeFill="accent2" w:themeFillTint="75"/>
      </w:tcPr>
    </w:tblStylePr>
    <w:tblStylePr w:type="band1Horz">
      <w:tblPr/>
      <w:tcPr>
        <w:shd w:val="clear" w:color="F6C3A0" w:themeColor="accent2" w:themeTint="75" w:fill="F6C3A0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ECECE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5A5A5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band1Vert">
      <w:tblPr/>
      <w:tcPr>
        <w:shd w:val="clear" w:color="D5D5D5" w:themeColor="accent3" w:themeTint="75" w:fill="D5D5D5" w:themeFill="accent3" w:themeFillTint="75"/>
      </w:tcPr>
    </w:tblStylePr>
    <w:tblStylePr w:type="band1Horz">
      <w:tblPr/>
      <w:tcPr>
        <w:shd w:val="clear" w:color="D5D5D5" w:themeColor="accent3" w:themeTint="75" w:fill="D5D5D5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2CB" w:themeColor="accent4" w:themeTint="34" w:fill="FFF2CB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C000" w:themeColor="accent4" w:fill="FFC000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band1Vert">
      <w:tblPr/>
      <w:tcPr>
        <w:shd w:val="clear" w:color="FFE28A" w:themeColor="accent4" w:themeTint="75" w:fill="FFE28A" w:themeFill="accent4" w:themeFillTint="75"/>
      </w:tcPr>
    </w:tblStylePr>
    <w:tblStylePr w:type="band1Horz">
      <w:tblPr/>
      <w:tcPr>
        <w:shd w:val="clear" w:color="FFE28A" w:themeColor="accent4" w:themeTint="75" w:fill="FFE28A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8E2F3" w:themeColor="accent5" w:themeTint="34" w:fill="D8E2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472C4" w:themeColor="accent5" w:fill="4472C4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band1Vert">
      <w:tblPr/>
      <w:tcPr>
        <w:shd w:val="clear" w:color="A9BEE4" w:themeColor="accent5" w:themeTint="75" w:fill="A9BEE4" w:themeFill="accent5" w:themeFillTint="75"/>
      </w:tcPr>
    </w:tblStylePr>
    <w:tblStylePr w:type="band1Horz">
      <w:tblPr/>
      <w:tcPr>
        <w:shd w:val="clear" w:color="A9BEE4" w:themeColor="accent5" w:themeTint="75" w:fill="A9BE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E1EF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70AD47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band1Vert">
      <w:tblPr/>
      <w:tcPr>
        <w:shd w:val="clear" w:color="BCDBA8" w:themeColor="accent6" w:themeTint="75" w:fill="BCDBA8" w:themeFill="accent6" w:themeFillTint="75"/>
      </w:tcPr>
    </w:tblStylePr>
    <w:tblStylePr w:type="band1Horz">
      <w:tblPr/>
      <w:tcPr>
        <w:shd w:val="clear" w:color="BCDBA8" w:themeColor="accent6" w:themeTint="75" w:fill="BCDBA8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tblPr>
      <w:tblStyleRowBandSize w:val="1"/>
      <w:tblStyleColBandSize w:val="1"/>
      <w:tblBorders>
        <w:top w:val="single" w:sz="4" w:space="0" w:color="ACCCEA" w:themeColor="accent1" w:themeTint="80"/>
        <w:left w:val="single" w:sz="4" w:space="0" w:color="ACCCEA" w:themeColor="accent1" w:themeTint="80"/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</w:tblPr>
    <w:tblStylePr w:type="firstRow">
      <w:rPr>
        <w:b/>
        <w:color w:val="ACCCEA" w:themeColor="accent1" w:themeTint="80" w:themeShade="95"/>
      </w:rPr>
      <w:tblPr/>
      <w:tcPr>
        <w:tcBorders>
          <w:bottom w:val="single" w:sz="12" w:space="0" w:color="ACCCEA" w:themeColor="accent1" w:themeTint="80"/>
        </w:tcBorders>
      </w:tcPr>
    </w:tblStylePr>
    <w:tblStylePr w:type="lastRow">
      <w:rPr>
        <w:b/>
        <w:color w:val="ACCCEA" w:themeColor="accent1" w:themeTint="80" w:themeShade="95"/>
      </w:rPr>
    </w:tblStylePr>
    <w:tblStylePr w:type="firstCol">
      <w:rPr>
        <w:b/>
        <w:color w:val="ACCCEA" w:themeColor="accent1" w:themeTint="80" w:themeShade="95"/>
      </w:rPr>
    </w:tblStylePr>
    <w:tblStylePr w:type="lastCol">
      <w:rPr>
        <w:b/>
        <w:color w:val="ACCCEA" w:themeColor="accent1" w:themeTint="80" w:themeShade="95"/>
      </w:r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tblPr>
      <w:tblStyleRowBandSize w:val="1"/>
      <w:tblStyleColBandSize w:val="1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tblPr>
      <w:tblStyleRowBandSize w:val="1"/>
      <w:tblStyleColBandSize w:val="1"/>
      <w:tblBorders>
        <w:top w:val="single" w:sz="4" w:space="0" w:color="4472C4" w:themeColor="accent5"/>
        <w:left w:val="single" w:sz="4" w:space="0" w:color="4472C4" w:themeColor="accent5"/>
        <w:bottom w:val="single" w:sz="4" w:space="0" w:color="4472C4" w:themeColor="accent5"/>
        <w:right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4472C4" w:themeColor="accent5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tblPr>
      <w:tblStyleRowBandSize w:val="1"/>
      <w:tblStyleColBandSize w:val="1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tblPr>
      <w:tblStyleRowBandSize w:val="1"/>
      <w:tblStyleColBandSize w:val="1"/>
      <w:tblBorders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</w:tblPr>
    <w:tblStylePr w:type="fir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CCCEA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single" w:sz="4" w:space="0" w:color="ACCCEA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CCCEA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CCCEA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tblPr>
      <w:tblStyleRowBandSize w:val="1"/>
      <w:tblStyleColBandSize w:val="1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tblPr>
      <w:tblStyleRowBandSize w:val="1"/>
      <w:tblStyleColBandSize w:val="1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5A5A5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A5A5A5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tblPr>
      <w:tblStyleRowBandSize w:val="1"/>
      <w:tblStyleColBandSize w:val="1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tblPr>
      <w:tblStyleRowBandSize w:val="1"/>
      <w:tblStyleColBandSize w:val="1"/>
      <w:tblBorders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</w:tblPr>
    <w:tblStylePr w:type="fir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5AFDD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single" w:sz="4" w:space="0" w:color="95AFDD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5AFDD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0" w:space="0" w:color="auto"/>
          <w:left w:val="single" w:sz="4" w:space="0" w:color="95AFDD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tblPr>
      <w:tblStyleRowBandSize w:val="1"/>
      <w:tblStyleColBandSize w:val="1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DD394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single" w:sz="4" w:space="0" w:color="ADD394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ListTable2">
    <w:name w:val="List Table 2"/>
    <w:basedOn w:val="a1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tblPr>
      <w:tblStyleRowBandSize w:val="1"/>
      <w:tblStyleColBandSize w:val="1"/>
      <w:tblBorders>
        <w:top w:val="single" w:sz="4" w:space="0" w:color="A2C6E7" w:themeColor="accent1" w:themeTint="90"/>
        <w:bottom w:val="single" w:sz="4" w:space="0" w:color="A2C6E7" w:themeColor="accent1" w:themeTint="90"/>
        <w:insideH w:val="single" w:sz="4" w:space="0" w:color="A2C6E7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tblPr>
      <w:tblStyleRowBandSize w:val="1"/>
      <w:tblStyleColBandSize w:val="1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tblPr>
      <w:tblStyleRowBandSize w:val="1"/>
      <w:tblStyleColBandSize w:val="1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tblPr>
      <w:tblStyleRowBandSize w:val="1"/>
      <w:tblStyleColBandSize w:val="1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tblPr>
      <w:tblStyleRowBandSize w:val="1"/>
      <w:tblStyleColBandSize w:val="1"/>
      <w:tblBorders>
        <w:top w:val="single" w:sz="4" w:space="0" w:color="95AFDD" w:themeColor="accent5" w:themeTint="90"/>
        <w:bottom w:val="single" w:sz="4" w:space="0" w:color="95AFDD" w:themeColor="accent5" w:themeTint="90"/>
        <w:insideH w:val="single" w:sz="4" w:space="0" w:color="95AFDD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tblPr>
      <w:tblStyleRowBandSize w:val="1"/>
      <w:tblStyleColBandSize w:val="1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ListTable3">
    <w:name w:val="List Table 3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tblPr>
      <w:tblStyleRowBandSize w:val="1"/>
      <w:tblStyleColBandSize w:val="1"/>
      <w:tblBorders>
        <w:top w:val="single" w:sz="4" w:space="0" w:color="5B9BD5" w:themeColor="accent1"/>
        <w:left w:val="single" w:sz="4" w:space="0" w:color="5B9BD5" w:themeColor="accent1"/>
        <w:bottom w:val="single" w:sz="4" w:space="0" w:color="5B9BD5" w:themeColor="accent1"/>
        <w:right w:val="single" w:sz="4" w:space="0" w:color="5B9BD5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5B9BD5" w:themeColor="accent1"/>
          <w:right w:val="single" w:sz="4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5B9BD5" w:themeColor="accent1"/>
          <w:bottom w:val="single" w:sz="4" w:space="0" w:color="5B9BD5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tblPr>
      <w:tblStyleRowBandSize w:val="1"/>
      <w:tblStyleColBandSize w:val="1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themeColor="accent3" w:themeTint="98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tblPr>
      <w:tblStyleRowBandSize w:val="1"/>
      <w:tblStyleColBandSize w:val="1"/>
      <w:tblBorders>
        <w:top w:val="single" w:sz="4" w:space="0" w:color="8DA9DB" w:themeColor="accent5" w:themeTint="9A"/>
        <w:left w:val="single" w:sz="4" w:space="0" w:color="8DA9DB" w:themeColor="accent5" w:themeTint="9A"/>
        <w:bottom w:val="single" w:sz="4" w:space="0" w:color="8DA9DB" w:themeColor="accent5" w:themeTint="9A"/>
        <w:right w:val="single" w:sz="4" w:space="0" w:color="8DA9DB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DA9DB" w:themeColor="accent5" w:themeTint="9A" w:fill="8DA9DB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8DA9DB" w:themeColor="accent5" w:themeTint="9A"/>
          <w:right w:val="single" w:sz="4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8DA9DB" w:themeColor="accent5" w:themeTint="9A"/>
          <w:bottom w:val="single" w:sz="4" w:space="0" w:color="8DA9DB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tblPr>
      <w:tblStyleRowBandSize w:val="1"/>
      <w:tblStyleColBandSize w:val="1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themeColor="accent6" w:themeTint="98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tblPr>
      <w:tblStyleRowBandSize w:val="1"/>
      <w:tblStyleColBandSize w:val="1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tblPr>
      <w:tblStyleRowBandSize w:val="1"/>
      <w:tblStyleColBandSize w:val="1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ListTable5Dark">
    <w:name w:val="List Table 5 Dark"/>
    <w:basedOn w:val="a1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tblPr>
      <w:tblStyleRowBandSize w:val="1"/>
      <w:tblStyleColBandSize w:val="1"/>
      <w:tblBorders>
        <w:top w:val="single" w:sz="32" w:space="0" w:color="5B9BD5" w:themeColor="accent1"/>
        <w:left w:val="single" w:sz="32" w:space="0" w:color="5B9BD5" w:themeColor="accent1"/>
        <w:bottom w:val="single" w:sz="32" w:space="0" w:color="5B9BD5" w:themeColor="accent1"/>
        <w:right w:val="single" w:sz="32" w:space="0" w:color="5B9BD5" w:themeColor="accent1"/>
      </w:tblBorders>
      <w:shd w:val="clear" w:color="5B9BD5" w:themeColor="accent1" w:fill="5B9BD5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5B9BD5" w:themeColor="accent1"/>
          <w:bottom w:val="single" w:sz="12" w:space="0" w:color="FFFFFF" w:themeColor="light1"/>
        </w:tcBorders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5B9BD5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5B9BD5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5B9BD5" w:themeColor="accent1" w:fill="5B9BD5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</w:style>
  <w:style w:type="table" w:customStyle="1" w:styleId="ListTable5Dark-Accent2">
    <w:name w:val="List Table 5 Dark - Accent 2"/>
    <w:basedOn w:val="a1"/>
    <w:uiPriority w:val="99"/>
    <w:tblPr>
      <w:tblStyleRowBandSize w:val="1"/>
      <w:tblStyleColBandSize w:val="1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F4B184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tblPr>
      <w:tblStyleRowBandSize w:val="1"/>
      <w:tblStyleColBandSize w:val="1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C9C9C9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tblPr>
      <w:tblStyleRowBandSize w:val="1"/>
      <w:tblStyleColBandSize w:val="1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FFD865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tblPr>
      <w:tblStyleRowBandSize w:val="1"/>
      <w:tblStyleColBandSize w:val="1"/>
      <w:tblBorders>
        <w:top w:val="single" w:sz="32" w:space="0" w:color="8DA9DB" w:themeColor="accent5" w:themeTint="9A"/>
        <w:left w:val="single" w:sz="32" w:space="0" w:color="8DA9DB" w:themeColor="accent5" w:themeTint="9A"/>
        <w:bottom w:val="single" w:sz="32" w:space="0" w:color="8DA9DB" w:themeColor="accent5" w:themeTint="9A"/>
        <w:right w:val="single" w:sz="32" w:space="0" w:color="8DA9DB" w:themeColor="accent5" w:themeTint="9A"/>
      </w:tblBorders>
      <w:shd w:val="clear" w:color="8DA9DB" w:themeColor="accent5" w:themeTint="9A" w:fill="8DA9DB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8DA9DB" w:themeColor="accent5" w:themeTint="9A"/>
          <w:bottom w:val="single" w:sz="12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8DA9DB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8DA9DB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tblPr>
      <w:tblStyleRowBandSize w:val="1"/>
      <w:tblStyleColBandSize w:val="1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9D08E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tblPr>
      <w:tblStyleRowBandSize w:val="1"/>
      <w:tblStyleColBandSize w:val="1"/>
      <w:tblBorders>
        <w:top w:val="single" w:sz="4" w:space="0" w:color="5B9BD5" w:themeColor="accent1"/>
        <w:bottom w:val="single" w:sz="4" w:space="0" w:color="5B9BD5" w:themeColor="accent1"/>
      </w:tblBorders>
    </w:tblPr>
    <w:tblStylePr w:type="firstRow">
      <w:rPr>
        <w:b/>
        <w:color w:val="245A8D" w:themeColor="accent1" w:themeShade="95"/>
      </w:rPr>
      <w:tblPr/>
      <w:tcPr>
        <w:tcBorders>
          <w:bottom w:val="single" w:sz="4" w:space="0" w:color="5B9BD5" w:themeColor="accent1"/>
        </w:tcBorders>
      </w:tcPr>
    </w:tblStylePr>
    <w:tblStylePr w:type="lastRow">
      <w:rPr>
        <w:b/>
        <w:color w:val="245A8D" w:themeColor="accent1" w:themeShade="95"/>
      </w:rPr>
      <w:tblPr/>
      <w:tcPr>
        <w:tcBorders>
          <w:top w:val="single" w:sz="4" w:space="0" w:color="5B9BD5" w:themeColor="accent1"/>
        </w:tcBorders>
      </w:tcPr>
    </w:tblStylePr>
    <w:tblStylePr w:type="firstCol">
      <w:rPr>
        <w:b/>
        <w:color w:val="245A8D" w:themeColor="accent1" w:themeShade="95"/>
      </w:rPr>
    </w:tblStylePr>
    <w:tblStylePr w:type="lastCol">
      <w:rPr>
        <w:b/>
        <w:color w:val="245A8D" w:themeColor="accent1" w:themeShade="95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tblPr>
      <w:tblStyleRowBandSize w:val="1"/>
      <w:tblStyleColBandSize w:val="1"/>
      <w:tblBorders>
        <w:top w:val="single" w:sz="4" w:space="0" w:color="F4B184" w:themeColor="accent2" w:themeTint="97"/>
        <w:bottom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tblPr>
      <w:tblStyleRowBandSize w:val="1"/>
      <w:tblStyleColBandSize w:val="1"/>
      <w:tblBorders>
        <w:top w:val="single" w:sz="4" w:space="0" w:color="C9C9C9" w:themeColor="accent3" w:themeTint="98"/>
        <w:bottom w:val="single" w:sz="4" w:space="0" w:color="C9C9C9" w:themeColor="accent3" w:themeTint="98"/>
      </w:tblBorders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tblPr>
      <w:tblStyleRowBandSize w:val="1"/>
      <w:tblStyleColBandSize w:val="1"/>
      <w:tblBorders>
        <w:top w:val="single" w:sz="4" w:space="0" w:color="FFD865" w:themeColor="accent4" w:themeTint="9A"/>
        <w:bottom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tblPr>
      <w:tblStyleRowBandSize w:val="1"/>
      <w:tblStyleColBandSize w:val="1"/>
      <w:tblBorders>
        <w:top w:val="single" w:sz="4" w:space="0" w:color="8DA9DB" w:themeColor="accent5" w:themeTint="9A"/>
        <w:bottom w:val="single" w:sz="4" w:space="0" w:color="8DA9DB" w:themeColor="accent5" w:themeTint="9A"/>
      </w:tblBorders>
    </w:tblPr>
    <w:tblStylePr w:type="firstRow">
      <w:rPr>
        <w:b/>
        <w:color w:val="8DA9DB" w:themeColor="accent5" w:themeTint="9A" w:themeShade="95"/>
      </w:rPr>
      <w:tblPr/>
      <w:tcPr>
        <w:tcBorders>
          <w:bottom w:val="single" w:sz="4" w:space="0" w:color="8DA9DB" w:themeColor="accent5" w:themeTint="9A"/>
        </w:tcBorders>
      </w:tcPr>
    </w:tblStylePr>
    <w:tblStylePr w:type="lastRow">
      <w:rPr>
        <w:b/>
        <w:color w:val="8DA9DB" w:themeColor="accent5" w:themeTint="9A" w:themeShade="95"/>
      </w:rPr>
      <w:tblPr/>
      <w:tcPr>
        <w:tcBorders>
          <w:top w:val="single" w:sz="4" w:space="0" w:color="8DA9DB" w:themeColor="accent5" w:themeTint="9A"/>
        </w:tcBorders>
      </w:tcPr>
    </w:tblStylePr>
    <w:tblStylePr w:type="firstCol">
      <w:rPr>
        <w:b/>
        <w:color w:val="8DA9DB" w:themeColor="accent5" w:themeTint="9A" w:themeShade="95"/>
      </w:rPr>
    </w:tblStylePr>
    <w:tblStylePr w:type="lastCol">
      <w:rPr>
        <w:b/>
        <w:color w:val="8DA9DB" w:themeColor="accent5" w:themeTint="9A" w:themeShade="95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tblPr>
      <w:tblStyleRowBandSize w:val="1"/>
      <w:tblStyleColBandSize w:val="1"/>
      <w:tblBorders>
        <w:top w:val="single" w:sz="4" w:space="0" w:color="A9D08E" w:themeColor="accent6" w:themeTint="98"/>
        <w:bottom w:val="single" w:sz="4" w:space="0" w:color="A9D08E" w:themeColor="accent6" w:themeTint="98"/>
      </w:tblBorders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tblPr>
      <w:tblStyleRowBandSize w:val="1"/>
      <w:tblStyleColBandSize w:val="1"/>
      <w:tblBorders>
        <w:right w:val="single" w:sz="4" w:space="0" w:color="5B9BD5" w:themeColor="accent1"/>
      </w:tblBorders>
    </w:tblPr>
    <w:tblStylePr w:type="fir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5B9BD5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single" w:sz="4" w:space="0" w:color="5B9BD5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5B9BD5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single" w:sz="4" w:space="0" w:color="5B9BD5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tblPr>
      <w:tblStyleRowBandSize w:val="1"/>
      <w:tblStyleColBandSize w:val="1"/>
      <w:tblBorders>
        <w:right w:val="single" w:sz="4" w:space="0" w:color="F4B184" w:themeColor="accent2" w:themeTint="97"/>
      </w:tblBorders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tblPr>
      <w:tblStyleRowBandSize w:val="1"/>
      <w:tblStyleColBandSize w:val="1"/>
      <w:tblBorders>
        <w:right w:val="single" w:sz="4" w:space="0" w:color="C9C9C9" w:themeColor="accent3" w:themeTint="98"/>
      </w:tblBorders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9C9C9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9C9C9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tblPr>
      <w:tblStyleRowBandSize w:val="1"/>
      <w:tblStyleColBandSize w:val="1"/>
      <w:tblBorders>
        <w:right w:val="single" w:sz="4" w:space="0" w:color="FFD865" w:themeColor="accent4" w:themeTint="9A"/>
      </w:tblBorders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tblPr>
      <w:tblStyleRowBandSize w:val="1"/>
      <w:tblStyleColBandSize w:val="1"/>
      <w:tblBorders>
        <w:right w:val="single" w:sz="4" w:space="0" w:color="8DA9DB" w:themeColor="accent5" w:themeTint="9A"/>
      </w:tblBorders>
    </w:tblPr>
    <w:tblStylePr w:type="fir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8DA9DB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single" w:sz="4" w:space="0" w:color="8DA9DB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8DA9DB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8DA9DB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tblPr>
      <w:tblStyleRowBandSize w:val="1"/>
      <w:tblStyleColBandSize w:val="1"/>
      <w:tblBorders>
        <w:right w:val="single" w:sz="4" w:space="0" w:color="A9D08E" w:themeColor="accent6" w:themeTint="98"/>
      </w:tblBorders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9D08E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A9D08E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Lined-Accent2">
    <w:name w:val="Lined - Accent 2"/>
    <w:basedOn w:val="a1"/>
    <w:uiPriority w:val="99"/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Lined-Accent3">
    <w:name w:val="Lined - Accent 3"/>
    <w:basedOn w:val="a1"/>
    <w:uiPriority w:val="99"/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Lined-Accent4">
    <w:name w:val="Lined - Accent 4"/>
    <w:basedOn w:val="a1"/>
    <w:uiPriority w:val="99"/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Lined-Accent5">
    <w:name w:val="Lined - Accent 5"/>
    <w:basedOn w:val="a1"/>
    <w:uiPriority w:val="99"/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Lined-Accent6">
    <w:name w:val="Lined - Accent 6"/>
    <w:basedOn w:val="a1"/>
    <w:uiPriority w:val="99"/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45A8D" w:themeColor="accent1" w:themeShade="95"/>
        <w:left w:val="single" w:sz="4" w:space="0" w:color="245A8D" w:themeColor="accent1" w:themeShade="95"/>
        <w:bottom w:val="single" w:sz="4" w:space="0" w:color="245A8D" w:themeColor="accent1" w:themeShade="95"/>
        <w:right w:val="single" w:sz="4" w:space="0" w:color="245A8D" w:themeColor="accent1" w:themeShade="95"/>
        <w:insideH w:val="single" w:sz="4" w:space="0" w:color="245A8D" w:themeColor="accent1" w:themeShade="95"/>
        <w:insideV w:val="single" w:sz="4" w:space="0" w:color="245A8D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54175" w:themeColor="accent5" w:themeShade="95"/>
        <w:left w:val="single" w:sz="4" w:space="0" w:color="254175" w:themeColor="accent5" w:themeShade="95"/>
        <w:bottom w:val="single" w:sz="4" w:space="0" w:color="254175" w:themeColor="accent5" w:themeShade="95"/>
        <w:right w:val="single" w:sz="4" w:space="0" w:color="254175" w:themeColor="accent5" w:themeShade="95"/>
        <w:insideH w:val="single" w:sz="4" w:space="0" w:color="254175" w:themeColor="accent5" w:themeShade="95"/>
        <w:insideV w:val="single" w:sz="4" w:space="0" w:color="254175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">
    <w:name w:val="Bordered"/>
    <w:basedOn w:val="a1"/>
    <w:uiPriority w:val="99"/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tblPr>
      <w:tblStyleRowBandSize w:val="1"/>
      <w:tblStyleColBandSize w:val="1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5B9BD5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5B9BD5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tblPr>
      <w:tblStyleRowBandSize w:val="1"/>
      <w:tblStyleColBandSize w:val="1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8DA9DB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8DA9DB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paragraph" w:styleId="af">
    <w:name w:val="footnote text"/>
    <w:basedOn w:val="a"/>
    <w:link w:val="af0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0">
    <w:name w:val="Текст сноски Знак"/>
    <w:link w:val="af"/>
    <w:uiPriority w:val="99"/>
    <w:rPr>
      <w:sz w:val="18"/>
    </w:rPr>
  </w:style>
  <w:style w:type="character" w:styleId="af1">
    <w:name w:val="footnote reference"/>
    <w:basedOn w:val="a0"/>
    <w:uiPriority w:val="99"/>
    <w:unhideWhenUsed/>
    <w:rPr>
      <w:vertAlign w:val="superscript"/>
    </w:rPr>
  </w:style>
  <w:style w:type="character" w:customStyle="1" w:styleId="11">
    <w:name w:val="Текст концевой сноски Знак1"/>
    <w:link w:val="af2"/>
    <w:uiPriority w:val="99"/>
    <w:rPr>
      <w:sz w:val="20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3">
    <w:name w:val="TOC Heading"/>
    <w:uiPriority w:val="39"/>
    <w:unhideWhenUsed/>
  </w:style>
  <w:style w:type="paragraph" w:styleId="af4">
    <w:name w:val="table of figures"/>
    <w:basedOn w:val="a"/>
    <w:next w:val="a"/>
    <w:uiPriority w:val="99"/>
    <w:unhideWhenUsed/>
    <w:pPr>
      <w:spacing w:after="0"/>
    </w:pPr>
  </w:style>
  <w:style w:type="character" w:customStyle="1" w:styleId="af5">
    <w:name w:val="Текст концевой сноски Знак"/>
    <w:basedOn w:val="a0"/>
    <w:uiPriority w:val="99"/>
    <w:semiHidden/>
    <w:qFormat/>
    <w:rPr>
      <w:sz w:val="20"/>
      <w:szCs w:val="20"/>
    </w:rPr>
  </w:style>
  <w:style w:type="character" w:customStyle="1" w:styleId="af6">
    <w:name w:val="Символ концевой сноски"/>
    <w:uiPriority w:val="99"/>
    <w:semiHidden/>
    <w:unhideWhenUsed/>
    <w:qFormat/>
    <w:rPr>
      <w:vertAlign w:val="superscript"/>
    </w:rPr>
  </w:style>
  <w:style w:type="character" w:styleId="af7">
    <w:name w:val="endnote reference"/>
    <w:rPr>
      <w:vertAlign w:val="superscript"/>
    </w:rPr>
  </w:style>
  <w:style w:type="character" w:styleId="af8">
    <w:name w:val="Hyperlink"/>
    <w:basedOn w:val="a0"/>
    <w:uiPriority w:val="99"/>
    <w:unhideWhenUsed/>
    <w:rPr>
      <w:color w:val="0563C1" w:themeColor="hyperlink"/>
      <w:u w:val="single"/>
    </w:rPr>
  </w:style>
  <w:style w:type="character" w:customStyle="1" w:styleId="af9">
    <w:name w:val="Символ нумерации"/>
    <w:qFormat/>
    <w:rPr>
      <w:rFonts w:ascii="Times New Roman" w:hAnsi="Times New Roman"/>
      <w:sz w:val="24"/>
      <w:szCs w:val="24"/>
    </w:rPr>
  </w:style>
  <w:style w:type="paragraph" w:customStyle="1" w:styleId="afa">
    <w:name w:val="Заголовок"/>
    <w:basedOn w:val="a"/>
    <w:next w:val="afb"/>
    <w:qFormat/>
    <w:pPr>
      <w:keepNext/>
      <w:spacing w:before="240" w:after="120"/>
    </w:pPr>
    <w:rPr>
      <w:rFonts w:ascii="PT Astra Serif" w:eastAsia="Tahoma" w:hAnsi="PT Astra Serif" w:cs="Noto Sans Devanagari"/>
      <w:sz w:val="28"/>
      <w:szCs w:val="28"/>
    </w:rPr>
  </w:style>
  <w:style w:type="paragraph" w:styleId="afb">
    <w:name w:val="Body Text"/>
    <w:basedOn w:val="a"/>
    <w:pPr>
      <w:spacing w:after="140" w:line="276" w:lineRule="auto"/>
    </w:pPr>
  </w:style>
  <w:style w:type="paragraph" w:styleId="afc">
    <w:name w:val="List"/>
    <w:basedOn w:val="afb"/>
    <w:rPr>
      <w:rFonts w:ascii="PT Astra Serif" w:hAnsi="PT Astra Serif" w:cs="Noto Sans Devanagari"/>
    </w:rPr>
  </w:style>
  <w:style w:type="paragraph" w:styleId="afd">
    <w:name w:val="caption"/>
    <w:basedOn w:val="a"/>
    <w:qFormat/>
    <w:pPr>
      <w:suppressLineNumbers/>
      <w:spacing w:before="120" w:after="120"/>
    </w:pPr>
    <w:rPr>
      <w:rFonts w:ascii="PT Astra Serif" w:hAnsi="PT Astra Serif" w:cs="Noto Sans Devanagari"/>
      <w:i/>
      <w:iCs/>
      <w:sz w:val="24"/>
      <w:szCs w:val="24"/>
    </w:rPr>
  </w:style>
  <w:style w:type="paragraph" w:styleId="afe">
    <w:name w:val="index heading"/>
    <w:basedOn w:val="a"/>
    <w:qFormat/>
    <w:pPr>
      <w:suppressLineNumbers/>
    </w:pPr>
    <w:rPr>
      <w:rFonts w:ascii="PT Astra Serif" w:hAnsi="PT Astra Serif" w:cs="Noto Sans Devanagari"/>
    </w:rPr>
  </w:style>
  <w:style w:type="paragraph" w:styleId="af2">
    <w:name w:val="endnote text"/>
    <w:basedOn w:val="a"/>
    <w:link w:val="11"/>
    <w:uiPriority w:val="99"/>
    <w:semiHidden/>
    <w:unhideWhenUsed/>
    <w:pPr>
      <w:spacing w:after="0" w:line="240" w:lineRule="auto"/>
    </w:pPr>
    <w:rPr>
      <w:sz w:val="20"/>
      <w:szCs w:val="20"/>
    </w:rPr>
  </w:style>
  <w:style w:type="paragraph" w:styleId="aff">
    <w:name w:val="List Paragraph"/>
    <w:basedOn w:val="a"/>
    <w:uiPriority w:val="34"/>
    <w:qFormat/>
    <w:pPr>
      <w:ind w:left="720"/>
      <w:contextualSpacing/>
    </w:pPr>
  </w:style>
  <w:style w:type="paragraph" w:customStyle="1" w:styleId="aff0">
    <w:name w:val="Колонтитул"/>
    <w:basedOn w:val="a"/>
    <w:qFormat/>
    <w:pPr>
      <w:suppressLineNumbers/>
      <w:tabs>
        <w:tab w:val="center" w:pos="4819"/>
        <w:tab w:val="right" w:pos="9638"/>
      </w:tabs>
    </w:pPr>
  </w:style>
  <w:style w:type="paragraph" w:styleId="ad">
    <w:name w:val="footer"/>
    <w:basedOn w:val="aff0"/>
    <w:link w:val="a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498467D-8263-427A-9E67-26B8EB1206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5</Pages>
  <Words>2257</Words>
  <Characters>12865</Characters>
  <Application>Microsoft Office Word</Application>
  <DocSecurity>0</DocSecurity>
  <Lines>107</Lines>
  <Paragraphs>30</Paragraphs>
  <ScaleCrop>false</ScaleCrop>
  <Company/>
  <LinksUpToDate>false</LinksUpToDate>
  <CharactersWithSpaces>15092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dc:description/>
  <cp:lastModifiedBy>Татьяна</cp:lastModifiedBy>
  <cp:revision>26</cp:revision>
  <dcterms:created xsi:type="dcterms:W3CDTF">2023-06-21T08:31:00Z</dcterms:created>
  <dcterms:modified xsi:type="dcterms:W3CDTF">2026-09-15T11:29:00Z</dcterms:modified>
  <dc:language>ru-RU</dc:language>
</cp:coreProperties>
</file>