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er3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276" w:before="0" w:after="0"/>
        <w:contextualSpacing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 xml:space="preserve">Догонина Елена Николаевна, </w:t>
      </w:r>
    </w:p>
    <w:p>
      <w:pPr>
        <w:pStyle w:val="NoSpacing"/>
        <w:spacing w:lineRule="auto" w:line="276" w:before="0" w:after="0"/>
        <w:contextualSpacing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 xml:space="preserve">методист по    начальному   образованию </w:t>
      </w:r>
    </w:p>
    <w:p>
      <w:pPr>
        <w:pStyle w:val="NoSpacing"/>
        <w:spacing w:lineRule="auto" w:line="276" w:before="0" w:after="0"/>
        <w:contextualSpacing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 xml:space="preserve">ГБУ ДППО ЦПКС «ИМЦ» </w:t>
      </w:r>
    </w:p>
    <w:p>
      <w:pPr>
        <w:pStyle w:val="NoSpacing"/>
        <w:spacing w:lineRule="auto" w:line="276" w:before="0" w:after="0"/>
        <w:contextualSpacing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>Фрунзенского района Санкт- Петербурга</w:t>
      </w:r>
    </w:p>
    <w:p>
      <w:pPr>
        <w:pStyle w:val="NoSpacing"/>
        <w:spacing w:lineRule="auto" w:line="276" w:before="0" w:after="0"/>
        <w:ind w:firstLine="709"/>
        <w:contextualSpacing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</w:r>
    </w:p>
    <w:p>
      <w:pPr>
        <w:pStyle w:val="NoSpacing"/>
        <w:spacing w:lineRule="auto" w:line="276" w:before="0" w:after="0"/>
        <w:ind w:firstLine="709"/>
        <w:contextualSpacing/>
        <w:rPr>
          <w:rFonts w:ascii="PT Serif" w:hAnsi="PT Serif" w:eastAsia="PT Serif" w:cs="PT Serif"/>
          <w:b/>
          <w:bCs/>
          <w:sz w:val="28"/>
          <w:szCs w:val="28"/>
        </w:rPr>
      </w:pPr>
      <w:r>
        <w:rPr>
          <w:rFonts w:eastAsia="PT Serif" w:cs="PT Serif" w:ascii="PT Serif" w:hAnsi="PT Serif"/>
          <w:b/>
          <w:bCs/>
          <w:sz w:val="28"/>
          <w:szCs w:val="28"/>
        </w:rPr>
        <w:t xml:space="preserve">Методическое сопровождение педагогов начальных классов: </w:t>
      </w:r>
    </w:p>
    <w:p>
      <w:pPr>
        <w:pStyle w:val="NoSpacing"/>
        <w:spacing w:lineRule="auto" w:line="276" w:before="0" w:after="0"/>
        <w:ind w:firstLine="709"/>
        <w:contextualSpacing/>
        <w:rPr>
          <w:rFonts w:ascii="PT Serif" w:hAnsi="PT Serif" w:eastAsia="PT Serif" w:cs="PT Serif"/>
          <w:sz w:val="28"/>
          <w:szCs w:val="28"/>
        </w:rPr>
      </w:pPr>
      <w:r>
        <w:rPr>
          <w:rFonts w:eastAsia="PT Serif" w:cs="PT Serif" w:ascii="PT Serif" w:hAnsi="PT Serif"/>
          <w:b/>
          <w:bCs/>
          <w:sz w:val="28"/>
          <w:szCs w:val="28"/>
        </w:rPr>
        <w:t>работа районного методиста</w:t>
      </w:r>
    </w:p>
    <w:p>
      <w:pPr>
        <w:pStyle w:val="NoSpacing"/>
        <w:spacing w:lineRule="auto" w:line="276" w:before="0" w:after="0"/>
        <w:ind w:firstLine="709"/>
        <w:contextualSpacing/>
        <w:rPr/>
      </w:pPr>
      <w:r>
        <w:rPr/>
      </w:r>
    </w:p>
    <w:p>
      <w:pPr>
        <w:pStyle w:val="NoSpacing"/>
        <w:spacing w:lineRule="auto" w:line="276" w:before="0" w:after="0"/>
        <w:ind w:firstLine="709"/>
        <w:contextualSpacing/>
        <w:rPr>
          <w:rFonts w:ascii="PT Serif" w:hAnsi="PT Serif" w:eastAsia="PT Serif" w:cs="PT Serif"/>
          <w:sz w:val="28"/>
          <w:szCs w:val="28"/>
        </w:rPr>
      </w:pPr>
      <w:r>
        <w:rPr>
          <w:rFonts w:eastAsia="PT Serif" w:cs="PT Serif" w:ascii="PT Serif" w:hAnsi="PT Serif"/>
          <w:sz w:val="28"/>
          <w:szCs w:val="28"/>
        </w:rPr>
      </w:r>
    </w:p>
    <w:p>
      <w:pPr>
        <w:pStyle w:val="Normal"/>
        <w:spacing w:before="0" w:after="0"/>
        <w:ind w:left="3969"/>
        <w:contextualSpacing/>
        <w:jc w:val="both"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 xml:space="preserve">Вечным законом да будет: учить и учиться всему </w:t>
      </w:r>
    </w:p>
    <w:p>
      <w:pPr>
        <w:pStyle w:val="Normal"/>
        <w:spacing w:before="0" w:after="0"/>
        <w:ind w:left="3969"/>
        <w:contextualSpacing/>
        <w:jc w:val="both"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 xml:space="preserve">через примеры, наставления и применение на деле» </w:t>
      </w:r>
    </w:p>
    <w:p>
      <w:pPr>
        <w:pStyle w:val="Normal"/>
        <w:spacing w:before="0" w:after="0"/>
        <w:ind w:left="3969"/>
        <w:contextualSpacing/>
        <w:jc w:val="both"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>(Я. А. Коменский)</w:t>
      </w:r>
    </w:p>
    <w:p>
      <w:pPr>
        <w:pStyle w:val="Normal"/>
        <w:spacing w:before="0" w:after="0"/>
        <w:ind w:left="3969"/>
        <w:contextualSpacing/>
        <w:jc w:val="both"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</w:r>
    </w:p>
    <w:p>
      <w:pPr>
        <w:pStyle w:val="Normal"/>
        <w:pBdr/>
        <w:spacing w:before="240" w:after="240"/>
        <w:ind w:firstLine="709" w:left="680" w:right="680"/>
        <w:contextualSpacing/>
        <w:jc w:val="both"/>
        <w:rPr>
          <w:rFonts w:ascii="Times New Roman" w:hAnsi="Times New Roman" w:eastAsia="Times New Roman" w:cs="Times New Roman"/>
          <w:i/>
          <w:i/>
          <w:iCs/>
          <w:color w:val="000000"/>
          <w:sz w:val="24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4"/>
        </w:rPr>
        <w:t>В статье рассматривается актуальная проблема методического сопровождения педагогов начального звена в условиях реализации требований обновленного Федерального государственного образовательного стандарта начального общего образования (ФГОС НОО). Автор, выступающий в роли практикующего методиста, делится опытом организации системной поддержки учителей начальных классов, направленной на повышение их профессиональной компетентности и качества образовательного процесса. Особое внимание уделяется практическим аспектам работы: приводятся примеры успешных практик, описываются эффективные формы взаимодействия с педагогами начальных классов Фрунзенского района (2025-2026 учебный год), даются рекомендации по адаптации методических решений к конкретным условиям начальной школы. Статья будет полезна методистам образовательных организаций, педагогам начального общего образования, председателям школьных методических объединений, заместителям директора, курирующим начальную школу.</w:t>
      </w:r>
    </w:p>
    <w:p>
      <w:pPr>
        <w:pStyle w:val="Normal"/>
        <w:pBdr/>
        <w:spacing w:before="240" w:after="240"/>
        <w:ind w:firstLine="709" w:left="680" w:right="680"/>
        <w:contextualSpacing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pBdr/>
        <w:spacing w:before="0" w:after="0"/>
        <w:ind w:firstLine="709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Современное образование переживает период глубоких трансформаций: меняются стандарты, внедряются инновационные технологии, переосмысливаются подходы к обучению и воспитанию. В этих условиях особую роль играет методическая поддержка педагогов — фундамент устойчивого развития образовательной системы на всех уровнях. Ключевой фигурой в организации такой поддержки на районном уровне выступает методист по начальному образованию. От его профессионализма, компетентности и вовлеченности во многом зависит качество обучения младших школьников — тех, кто только делает первые шаги в мире знаний. Начальная школа закладывает основы учебной деятельности, формирует познавательные навыки и мотивацию к обучению. Успешность этого процесса напрямую связана с уровнем подготовки педагогов: им необходимо не только владеть методиками преподавания, но и уметь адаптировать их под требования федеральных государственных образовательных стандартов (ФГОС), учитывать индивидуальные особенности детей, применять современные образовательные технологии.</w:t>
      </w:r>
    </w:p>
    <w:p>
      <w:pPr>
        <w:pStyle w:val="Normal"/>
        <w:pBdr/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Именно здесь проявляется значимость работы районного методиста.</w:t>
      </w:r>
    </w:p>
    <w:p>
      <w:pPr>
        <w:pStyle w:val="Normal"/>
        <w:pBdr/>
        <w:spacing w:before="0" w:after="0"/>
        <w:ind w:firstLine="709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Методист по начальному образованию: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координирует деятельность учителей начальных классов в районе;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помогает осваивать новые педагогические подходы и инструменты;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выявляет и распространяет передовой опыт;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поддерживает молодых учителей, практики наставничества;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организует повышение квалификации педагогов;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активизирует работу школьных методических объединений;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координирует сетевые проекты, работу творческих групп;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сопровождает педагогов при участии в конкурсном движении;</w:t>
      </w:r>
    </w:p>
    <w:p>
      <w:pPr>
        <w:pStyle w:val="ListParagraph"/>
        <w:numPr>
          <w:ilvl w:val="0"/>
          <w:numId w:val="2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обеспечивает связь между образовательными учреждениями и органами управления образованием.</w:t>
      </w:r>
    </w:p>
    <w:p>
      <w:pPr>
        <w:pStyle w:val="Normal"/>
        <w:pBdr/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В условиях постоянных изменений в системе образования работа методиста становится ещё более ответственной и многогранной. Ему приходится сочетать функции наставника, аналитика, организатора и исследователя, чтобы создать условия для профессионального роста педагогов и, как следствие, повышения качества начального образования.</w:t>
      </w:r>
    </w:p>
    <w:p>
      <w:pPr>
        <w:pStyle w:val="Normal"/>
        <w:pBdr/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 xml:space="preserve">Во Фрунзенском районе - 46 образовательных организаций. Хочу рассказать о работе районного методиста с педагогами начального звена, о своей работе. Прежде чем выстраивать методическое сопровождение учителей на учебный год, выясняю, в чем именно нуждаются педагоги района, с какими профессиональными проблемами сталкиваются, над развитием каких профессиональных компетенций предстоит работать в этом году. Для выявления этих основополагающих вопросов провожу анкетирование и интервьюирование учителей, воспитателей группы продленного дня, руководителей школьных методических объединений. Анализ полученных данных позволяет спланировать тематику семинаров, практических занятий, направления для повышения квалификации, обмена профессиональным опытом, презентации эффективных практик. </w:t>
      </w:r>
    </w:p>
    <w:p>
      <w:pPr>
        <w:pStyle w:val="Normal"/>
        <w:pBdr/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 xml:space="preserve">Разрабатываю годовой план работы в котором важно учитывать всю полученную информацию и определить формы методической работы. Обычно использую: </w:t>
      </w:r>
    </w:p>
    <w:p>
      <w:pPr>
        <w:pStyle w:val="ListParagraph"/>
        <w:numPr>
          <w:ilvl w:val="0"/>
          <w:numId w:val="3"/>
        </w:numPr>
        <w:pBdr/>
        <w:tabs>
          <w:tab w:val="clear" w:pos="708"/>
          <w:tab w:val="left" w:pos="1701" w:leader="none"/>
        </w:tabs>
        <w:spacing w:before="0" w:after="0"/>
        <w:ind w:hanging="360" w:left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Теоретико- практические семинары;</w:t>
      </w:r>
    </w:p>
    <w:p>
      <w:pPr>
        <w:pStyle w:val="ListParagraph"/>
        <w:numPr>
          <w:ilvl w:val="0"/>
          <w:numId w:val="3"/>
        </w:numPr>
        <w:pBdr/>
        <w:tabs>
          <w:tab w:val="clear" w:pos="708"/>
          <w:tab w:val="left" w:pos="1701" w:leader="none"/>
        </w:tabs>
        <w:spacing w:before="0" w:after="0"/>
        <w:ind w:hanging="360" w:left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Семинары- практикумы;</w:t>
      </w:r>
    </w:p>
    <w:p>
      <w:pPr>
        <w:pStyle w:val="ListParagraph"/>
        <w:numPr>
          <w:ilvl w:val="0"/>
          <w:numId w:val="3"/>
        </w:numPr>
        <w:pBdr/>
        <w:tabs>
          <w:tab w:val="clear" w:pos="708"/>
          <w:tab w:val="left" w:pos="1701" w:leader="none"/>
        </w:tabs>
        <w:spacing w:before="0" w:after="0"/>
        <w:ind w:hanging="360" w:left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Проблемные семинары</w:t>
      </w:r>
    </w:p>
    <w:p>
      <w:pPr>
        <w:pStyle w:val="ListParagraph"/>
        <w:numPr>
          <w:ilvl w:val="0"/>
          <w:numId w:val="3"/>
        </w:numPr>
        <w:pBdr/>
        <w:tabs>
          <w:tab w:val="clear" w:pos="708"/>
          <w:tab w:val="left" w:pos="1701" w:leader="none"/>
        </w:tabs>
        <w:spacing w:before="0" w:after="0"/>
        <w:ind w:hanging="360" w:left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Интегрированные семинары</w:t>
      </w:r>
    </w:p>
    <w:p>
      <w:pPr>
        <w:pStyle w:val="Normal"/>
        <w:pBdr/>
        <w:tabs>
          <w:tab w:val="clear" w:pos="708"/>
          <w:tab w:val="left" w:pos="1701" w:leader="none"/>
        </w:tabs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Приведу примерную структуру семинара:</w:t>
      </w:r>
    </w:p>
    <w:p>
      <w:pPr>
        <w:pStyle w:val="Normal"/>
        <w:pBdr/>
        <w:tabs>
          <w:tab w:val="clear" w:pos="708"/>
          <w:tab w:val="left" w:pos="1701" w:leader="none"/>
        </w:tabs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1.Организационная часть (10-15 мин)</w:t>
      </w:r>
    </w:p>
    <w:p>
      <w:pPr>
        <w:pStyle w:val="ListParagraph"/>
        <w:numPr>
          <w:ilvl w:val="0"/>
          <w:numId w:val="4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Приветствие, настрой на работу</w:t>
      </w:r>
    </w:p>
    <w:p>
      <w:pPr>
        <w:pStyle w:val="ListParagraph"/>
        <w:numPr>
          <w:ilvl w:val="0"/>
          <w:numId w:val="4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Знакомство с планом и целями</w:t>
      </w:r>
    </w:p>
    <w:p>
      <w:pPr>
        <w:pStyle w:val="ListParagraph"/>
        <w:numPr>
          <w:ilvl w:val="0"/>
          <w:numId w:val="4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Разминка</w:t>
      </w:r>
    </w:p>
    <w:p>
      <w:pPr>
        <w:pStyle w:val="Normal"/>
        <w:pBdr/>
        <w:tabs>
          <w:tab w:val="clear" w:pos="708"/>
          <w:tab w:val="left" w:pos="1701" w:leader="none"/>
        </w:tabs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2.Теоретическая часть (30-45 мин)</w:t>
      </w:r>
    </w:p>
    <w:p>
      <w:pPr>
        <w:pStyle w:val="ListParagraph"/>
        <w:numPr>
          <w:ilvl w:val="0"/>
          <w:numId w:val="5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Выступление по теме</w:t>
      </w:r>
    </w:p>
    <w:p>
      <w:pPr>
        <w:pStyle w:val="ListParagraph"/>
        <w:numPr>
          <w:ilvl w:val="0"/>
          <w:numId w:val="5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Презентация новых методик</w:t>
      </w:r>
    </w:p>
    <w:p>
      <w:pPr>
        <w:pStyle w:val="ListParagraph"/>
        <w:numPr>
          <w:ilvl w:val="0"/>
          <w:numId w:val="5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Обзор нормативных документов</w:t>
      </w:r>
    </w:p>
    <w:p>
      <w:pPr>
        <w:pStyle w:val="Normal"/>
        <w:pBdr/>
        <w:tabs>
          <w:tab w:val="clear" w:pos="708"/>
          <w:tab w:val="left" w:pos="1701" w:leader="none"/>
        </w:tabs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3. Практическая часть (30-40 мин)</w:t>
      </w:r>
    </w:p>
    <w:p>
      <w:pPr>
        <w:pStyle w:val="ListParagraph"/>
        <w:numPr>
          <w:ilvl w:val="0"/>
          <w:numId w:val="6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Работа в группах</w:t>
      </w:r>
    </w:p>
    <w:p>
      <w:pPr>
        <w:pStyle w:val="ListParagraph"/>
        <w:numPr>
          <w:ilvl w:val="0"/>
          <w:numId w:val="6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Моделирование уроков</w:t>
      </w:r>
    </w:p>
    <w:p>
      <w:pPr>
        <w:pStyle w:val="ListParagraph"/>
        <w:numPr>
          <w:ilvl w:val="0"/>
          <w:numId w:val="6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Разбор кейсов</w:t>
      </w:r>
    </w:p>
    <w:p>
      <w:pPr>
        <w:pStyle w:val="ListParagraph"/>
        <w:numPr>
          <w:ilvl w:val="0"/>
          <w:numId w:val="6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Отработка приемов</w:t>
      </w:r>
    </w:p>
    <w:p>
      <w:pPr>
        <w:pStyle w:val="Normal"/>
        <w:pBdr/>
        <w:tabs>
          <w:tab w:val="clear" w:pos="708"/>
          <w:tab w:val="left" w:pos="1701" w:leader="none"/>
        </w:tabs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4. Рефлексия (10-15 мин)</w:t>
      </w:r>
    </w:p>
    <w:p>
      <w:pPr>
        <w:pStyle w:val="ListParagraph"/>
        <w:numPr>
          <w:ilvl w:val="0"/>
          <w:numId w:val="7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Обсуждение результатов</w:t>
      </w:r>
    </w:p>
    <w:p>
      <w:pPr>
        <w:pStyle w:val="ListParagraph"/>
        <w:numPr>
          <w:ilvl w:val="0"/>
          <w:numId w:val="7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Обратная связь</w:t>
      </w:r>
    </w:p>
    <w:p>
      <w:pPr>
        <w:pStyle w:val="ListParagraph"/>
        <w:numPr>
          <w:ilvl w:val="0"/>
          <w:numId w:val="7"/>
        </w:numPr>
        <w:pBdr/>
        <w:tabs>
          <w:tab w:val="clear" w:pos="708"/>
          <w:tab w:val="left" w:pos="1701" w:leader="none"/>
        </w:tabs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Формулировка выводов и рекомендации</w:t>
      </w:r>
    </w:p>
    <w:p>
      <w:pPr>
        <w:pStyle w:val="Normal"/>
        <w:pBdr/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В 2025-2026 учебном году на площадках района прошли обучающие семинары «Новое качество современного урока в начальной школе» (ГБОУ № 316), «Учим и учимся решать текстовые задачи» (ГБОУ № 303), «Педагогика сотрудничества, направленная на гармоническое развитие личности учащихся на уроках в начальной школе»( ГБОУ лицей  № 299), семинар- практикум «От поделки к продукту: как развивать у младших школьников навыки 21 века на уроках труда  (технологии)» (ГБОУ лицей  № 226), интегрированный семинар «Преемственность в преподавании учебного курса «Труд (технология) на уровне начального и основного общего образования» (ГБОУ Гимназия № 587), цикл семинаров для заместителей директора в рамках «Дня завуча» ( ГБОУ № 215, ГБОУ  Гимназия № 441, ГБОУ лицей № 226, ГБОУ № 492).</w:t>
      </w:r>
    </w:p>
    <w:p>
      <w:pPr>
        <w:pStyle w:val="Normal"/>
        <w:pBdr/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Опытные учителя района охотно делятся эффективным опытом работы путем проведения открытых уроков, где показывают коллегам из школ района инновационные методики, педагогические приёмы, способы организации учебного процесса. В отличие от обычного урока, открытый урок имеет чёткую методическую цель — показать решение определенной профессиональной задачи, в прошедшем учебном году были проведены открытые уроки в форматах «Педагог- педагогу», «Опыт- молодым», «Молодые- молодым», «Бинарные уроки» (наставник- наставляемый). Открытый урок очень эффективная форма демонстрации и распространения эффективного опыта работы и вот почему:</w:t>
      </w:r>
    </w:p>
    <w:p>
      <w:pPr>
        <w:pStyle w:val="ListParagraph"/>
        <w:numPr>
          <w:ilvl w:val="0"/>
          <w:numId w:val="8"/>
        </w:numPr>
        <w:pBdr/>
        <w:tabs>
          <w:tab w:val="clear" w:pos="708"/>
          <w:tab w:val="left" w:pos="992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Учитель показывает коллегам лучшие практики, это могут быть: игровые технологии на уроках математики; приёмы развития читательской грамотности на уроках литературного чтения; элементы исследовательской деятельности на уроках окружающего мира.</w:t>
      </w:r>
    </w:p>
    <w:p>
      <w:pPr>
        <w:pStyle w:val="ListParagraph"/>
        <w:numPr>
          <w:ilvl w:val="0"/>
          <w:numId w:val="8"/>
        </w:numPr>
        <w:pBdr/>
        <w:tabs>
          <w:tab w:val="clear" w:pos="708"/>
          <w:tab w:val="left" w:pos="992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Подготовка к открытому уроку включает самоанализ и рефлексию. Учитель критически оценивает свою работу; структурирует накопленные методики; формулирует принципы своей педагогической системы.</w:t>
      </w:r>
    </w:p>
    <w:p>
      <w:pPr>
        <w:pStyle w:val="ListParagraph"/>
        <w:numPr>
          <w:ilvl w:val="0"/>
          <w:numId w:val="8"/>
        </w:numPr>
        <w:pBdr/>
        <w:tabs>
          <w:tab w:val="clear" w:pos="708"/>
          <w:tab w:val="left" w:pos="992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После урока проходит обсуждение, где учитель получает обратную связь от коллег, это и конструктивная критика, и новые идеи для совершенствования практики, и подтверждение эффективности выбранных подходов.</w:t>
      </w:r>
    </w:p>
    <w:p>
      <w:pPr>
        <w:pStyle w:val="ListParagraph"/>
        <w:numPr>
          <w:ilvl w:val="0"/>
          <w:numId w:val="8"/>
        </w:numPr>
        <w:pBdr/>
        <w:tabs>
          <w:tab w:val="clear" w:pos="708"/>
          <w:tab w:val="left" w:pos="992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Чтобы открытый урок был интересен, педагог ищет нестандартные формы подачи материала, современные образовательные технологии (проектные методы, ИКТ), способы активизации младших школьников. Так реализуется творческий поиск</w:t>
      </w:r>
    </w:p>
    <w:p>
      <w:pPr>
        <w:pStyle w:val="ListParagraph"/>
        <w:numPr>
          <w:ilvl w:val="0"/>
          <w:numId w:val="8"/>
        </w:numPr>
        <w:pBdr/>
        <w:tabs>
          <w:tab w:val="clear" w:pos="708"/>
          <w:tab w:val="left" w:pos="992" w:leader="none"/>
        </w:tabs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Проведение открытого урока развивает: навыки публичного выступления, умение управлять классом в стрессовых условиях, способность быстро адаптироваться к неожиданным ситуациям.</w:t>
      </w:r>
    </w:p>
    <w:p>
      <w:pPr>
        <w:pStyle w:val="Normal"/>
        <w:pBdr/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Таким образом, открытый урок — это мощный инструмент профессионального развития:</w:t>
      </w:r>
    </w:p>
    <w:p>
      <w:pPr>
        <w:pStyle w:val="ListParagraph"/>
        <w:numPr>
          <w:ilvl w:val="0"/>
          <w:numId w:val="9"/>
        </w:numPr>
        <w:pBdr/>
        <w:spacing w:before="0" w:after="0"/>
        <w:contextualSpacing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помогает систематизировать опыт;</w:t>
      </w:r>
    </w:p>
    <w:p>
      <w:pPr>
        <w:pStyle w:val="ListParagraph"/>
        <w:numPr>
          <w:ilvl w:val="0"/>
          <w:numId w:val="9"/>
        </w:numPr>
        <w:pBdr/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стимулирует внедрение инноваций;</w:t>
      </w:r>
    </w:p>
    <w:p>
      <w:pPr>
        <w:pStyle w:val="ListParagraph"/>
        <w:numPr>
          <w:ilvl w:val="0"/>
          <w:numId w:val="9"/>
        </w:numPr>
        <w:pBdr/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создаёт условия для диалога с коллегами;</w:t>
      </w:r>
    </w:p>
    <w:p>
      <w:pPr>
        <w:pStyle w:val="ListParagraph"/>
        <w:numPr>
          <w:ilvl w:val="0"/>
          <w:numId w:val="9"/>
        </w:numPr>
        <w:pBdr/>
        <w:spacing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мотивирует к постоянному совершенствованию.</w:t>
      </w:r>
    </w:p>
    <w:p>
      <w:pPr>
        <w:pStyle w:val="Normal"/>
        <w:pBdr/>
        <w:spacing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Еще одна эффективная форма работы с целью обмена профессиональным опытом это - мастер-класс. Ведущий (мастер) не просто рассказывает о методах работы, а наглядно показывает их и вовлекает участников в практическую деятельность. Педагоги Фрунзенского района проводят мастер - классы в рамках семинаров и конференций. Учителя отмечают, что методическое событие, в которое включены мастер-классы приносит более высокий результат. В 2025-2026 учебном году, на осенних каникулах для воспитателей группы продленного дня в течение трех дней состоялось погружение в «Арт пространство воспитателя ГПД. Искусство и творчество в каждом дне». Учителя начальных классов, воспитатели группы продленного дня, учителя – логопеды   ГБОУ № 325 представили галерею мастер- классов: «Осенний лист», «Мое имя в виде картины», «Подводный мир», «Веселые восьмерки».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В Гимназии № 205 им. Р.А. Ротмистровой был организован День методического мастерства, в практической части которого учителя из школ Фрунзенского района №212, 302, 215, 441, 310, 205, 364, 368 провели несколько мастер-классов :</w:t>
      </w:r>
      <w:r>
        <w:rPr>
          <w:rFonts w:eastAsia="PT Serif" w:cs="PT Serif" w:ascii="PT Serif" w:hAnsi="PT Serif"/>
          <w:bCs/>
          <w:iCs/>
          <w:sz w:val="24"/>
          <w:szCs w:val="24"/>
        </w:rPr>
        <w:t>«Учимся писать изложение»,</w:t>
      </w:r>
      <w:r>
        <w:rPr>
          <w:rFonts w:eastAsia="PT Serif" w:cs="PT Serif" w:ascii="PT Serif" w:hAnsi="PT Serif"/>
          <w:bCs/>
          <w:i/>
          <w:iCs/>
          <w:sz w:val="24"/>
          <w:szCs w:val="24"/>
        </w:rPr>
        <w:t xml:space="preserve"> </w:t>
      </w:r>
      <w:r>
        <w:rPr>
          <w:rFonts w:eastAsia="PT Serif" w:cs="PT Serif" w:ascii="PT Serif" w:hAnsi="PT Serif"/>
          <w:bCs/>
          <w:iCs/>
          <w:sz w:val="24"/>
          <w:szCs w:val="24"/>
        </w:rPr>
        <w:t>«Развиваем орфографическую зоркость», «Как открывать знания с учениками на уроке», «Словарные слова: приемы запоминания», «Основы журналистики. Полезные советы учителю и ученику», «Секреты работы со сложными орфограммами», «Искусство запоминания. Мнемотехнические приемы на уроке русского языка».</w:t>
      </w:r>
    </w:p>
    <w:p>
      <w:pPr>
        <w:pStyle w:val="NoSpacing"/>
        <w:spacing w:lineRule="auto" w:line="276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 xml:space="preserve">День методического мастерства получил высокую оценку всех участников, эта форма проведения мероприятий понравилась нашим учителям и в следующем учебном году запланированы подобные мероприятия. </w:t>
      </w:r>
    </w:p>
    <w:p>
      <w:pPr>
        <w:pStyle w:val="ds-markdown-paragraph"/>
        <w:shd w:val="clear" w:color="auto" w:fill="FFFFFF"/>
        <w:spacing w:lineRule="auto" w:line="276" w:beforeAutospacing="0" w:before="0" w:afterAutospacing="0" w:after="0"/>
        <w:ind w:firstLine="709"/>
        <w:contextualSpacing/>
        <w:jc w:val="both"/>
        <w:rPr>
          <w:color w:val="0F1115"/>
        </w:rPr>
      </w:pPr>
      <w:r>
        <w:rPr/>
        <w:t xml:space="preserve">Постоянно размышляю о том, каким должен быть современный районный методист. Я бы сказала так: это стратег и методолог. Он </w:t>
      </w:r>
      <w:r>
        <w:rPr>
          <w:color w:val="0F1115"/>
          <w:shd w:fill="FFFFFF" w:val="clear"/>
        </w:rPr>
        <w:t xml:space="preserve">формирует единое образовательное пространство района, но не унифицирует учителей, а создает площадки для обмена опытом, позволяя сильным педагогам становиться наставниками для начинающих. Районный методист - </w:t>
      </w:r>
      <w:r>
        <w:rPr>
          <w:b/>
          <w:color w:val="0F1115"/>
          <w:shd w:fill="FFFFFF" w:val="clear"/>
        </w:rPr>
        <w:t>о</w:t>
      </w:r>
      <w:r>
        <w:rPr>
          <w:rStyle w:val="Strong"/>
          <w:rFonts w:eastAsia="Arial"/>
          <w:b w:val="false"/>
          <w:color w:val="0F1115"/>
        </w:rPr>
        <w:t>рганизатор профессионального сообщества.</w:t>
      </w:r>
      <w:r>
        <w:rPr>
          <w:b/>
          <w:color w:val="0F1115"/>
        </w:rPr>
        <w:t> </w:t>
      </w:r>
      <w:r>
        <w:rPr>
          <w:color w:val="0F1115"/>
        </w:rPr>
        <w:t xml:space="preserve">Его главная задача — превратить разрозненных учителей в единую команду, где опыт одного становится достоянием всех. </w:t>
      </w:r>
      <w:r>
        <w:rPr>
          <w:color w:val="0F1115"/>
          <w:shd w:fill="FFFFFF" w:val="clear"/>
        </w:rPr>
        <w:t>По сути, это «двигатель» профессионального развития взрослых, без которого реформы образования остались бы лишь хорошими бумагами, а не живыми уроками.</w:t>
      </w:r>
    </w:p>
    <w:p>
      <w:pPr>
        <w:pStyle w:val="Normal"/>
        <w:pBdr/>
        <w:spacing w:before="0" w:after="0"/>
        <w:ind w:firstLine="709"/>
        <w:contextualSpacing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/>
        <w:spacing w:before="0" w:after="0"/>
        <w:ind w:firstLine="709"/>
        <w:contextualSpacing/>
        <w:rPr>
          <w:rFonts w:ascii="Times New Roman" w:hAnsi="Times New Roman" w:eastAsia="Times New Roman" w:cs="Times New Roman"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pBdr/>
        <w:spacing w:before="0" w:after="0"/>
        <w:ind w:firstLine="709"/>
        <w:contextualSpacing/>
        <w:rPr>
          <w:rFonts w:ascii="Times New Roman" w:hAnsi="Times New Roman" w:eastAsia="Times New Roman" w:cs="Times New Roman"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pBdr/>
        <w:spacing w:before="0" w:after="0"/>
        <w:ind w:firstLine="709"/>
        <w:contextualSpacing/>
        <w:rPr>
          <w:rFonts w:ascii="Times New Roman" w:hAnsi="Times New Roman" w:eastAsia="Times New Roman" w:cs="Times New Roman"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pBdr/>
        <w:spacing w:before="0" w:after="0"/>
        <w:ind w:firstLine="709"/>
        <w:contextualSpacing/>
        <w:rPr>
          <w:rFonts w:ascii="PT Serif" w:hAnsi="PT Serif" w:eastAsia="PT Serif" w:cs="PT Serif"/>
          <w:b/>
          <w:sz w:val="24"/>
          <w:szCs w:val="24"/>
        </w:rPr>
      </w:pPr>
      <w:r>
        <w:rPr>
          <w:rFonts w:eastAsia="PT Serif" w:cs="PT Serif" w:ascii="PT Serif" w:hAnsi="PT Serif"/>
          <w:b/>
          <w:sz w:val="24"/>
          <w:szCs w:val="24"/>
        </w:rPr>
        <w:t xml:space="preserve"> </w:t>
      </w:r>
      <w:r>
        <w:rPr>
          <w:rFonts w:eastAsia="PT Serif" w:cs="PT Serif" w:ascii="PT Serif" w:hAnsi="PT Serif"/>
          <w:b/>
          <w:sz w:val="24"/>
          <w:szCs w:val="24"/>
        </w:rPr>
        <w:t>Список источников:</w:t>
      </w:r>
    </w:p>
    <w:p>
      <w:pPr>
        <w:pStyle w:val="ListParagraph"/>
        <w:numPr>
          <w:ilvl w:val="0"/>
          <w:numId w:val="1"/>
        </w:numPr>
        <w:pBdr/>
        <w:tabs>
          <w:tab w:val="clear" w:pos="708"/>
          <w:tab w:val="left" w:pos="283" w:leader="none"/>
        </w:tabs>
        <w:spacing w:before="0" w:after="0"/>
        <w:ind w:firstLine="709" w:left="0"/>
        <w:contextualSpacing/>
        <w:jc w:val="both"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>Крылова О.Н. Новая дидактика современного урока в условиях введения ФГОС ООО -«КАРО», Санкт- Петербург, 2013</w:t>
      </w:r>
    </w:p>
    <w:p>
      <w:pPr>
        <w:pStyle w:val="ListParagraph"/>
        <w:numPr>
          <w:ilvl w:val="0"/>
          <w:numId w:val="1"/>
        </w:numPr>
        <w:pBdr/>
        <w:tabs>
          <w:tab w:val="clear" w:pos="708"/>
          <w:tab w:val="left" w:pos="283" w:leader="none"/>
        </w:tabs>
        <w:spacing w:before="0" w:after="0"/>
        <w:ind w:firstLine="709" w:left="0"/>
        <w:contextualSpacing/>
        <w:jc w:val="both"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>Глаголева Ю.И., И. В. Казанцева, Бойкина М.В. Новое качество урока в начальной школе. Алгоритм проектирования «КАРО», Санкт- Петербург, 2015</w:t>
      </w:r>
    </w:p>
    <w:p>
      <w:pPr>
        <w:pStyle w:val="ListParagraph"/>
        <w:numPr>
          <w:ilvl w:val="0"/>
          <w:numId w:val="1"/>
        </w:numPr>
        <w:pBdr/>
        <w:tabs>
          <w:tab w:val="clear" w:pos="708"/>
          <w:tab w:val="left" w:pos="283" w:leader="none"/>
        </w:tabs>
        <w:spacing w:before="0" w:after="0"/>
        <w:ind w:firstLine="709" w:left="0"/>
        <w:contextualSpacing/>
        <w:jc w:val="both"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>Сухомлинский В.А. Сто советов учителю - Советские учебники, Москва, 2023</w:t>
      </w:r>
    </w:p>
    <w:p>
      <w:pPr>
        <w:pStyle w:val="ListParagraph"/>
        <w:numPr>
          <w:ilvl w:val="0"/>
          <w:numId w:val="1"/>
        </w:numPr>
        <w:pBdr/>
        <w:tabs>
          <w:tab w:val="clear" w:pos="708"/>
          <w:tab w:val="left" w:pos="283" w:leader="none"/>
        </w:tabs>
        <w:spacing w:before="0" w:after="0"/>
        <w:ind w:firstLine="709" w:left="0"/>
        <w:contextualSpacing/>
        <w:jc w:val="both"/>
        <w:rPr>
          <w:rFonts w:ascii="PT Serif" w:hAnsi="PT Serif" w:eastAsia="PT Serif" w:cs="PT Serif"/>
          <w:sz w:val="24"/>
          <w:szCs w:val="24"/>
        </w:rPr>
      </w:pPr>
      <w:r>
        <w:rPr>
          <w:rFonts w:eastAsia="PT Serif" w:cs="PT Serif" w:ascii="PT Serif" w:hAnsi="PT Serif"/>
          <w:sz w:val="24"/>
          <w:szCs w:val="24"/>
        </w:rPr>
        <w:t>Казачкова С.П. Конструктор урока по ФГОС. Современные методы и приемы работы учителя - «Планета», Москва, 2025</w:t>
      </w:r>
    </w:p>
    <w:p>
      <w:pPr>
        <w:pStyle w:val="Normal"/>
        <w:pBdr/>
        <w:spacing w:before="0" w:after="0"/>
        <w:ind w:firstLine="709"/>
        <w:contextualSpacing/>
        <w:rPr/>
      </w:pPr>
      <w:r>
        <w:rPr/>
      </w:r>
    </w:p>
    <w:p>
      <w:pPr>
        <w:pStyle w:val="Normal"/>
        <w:pBdr/>
        <w:spacing w:before="0" w:after="0"/>
        <w:ind w:firstLine="709"/>
        <w:contextualSpacing/>
        <w:jc w:val="both"/>
        <w:rPr/>
      </w:pPr>
      <w:r>
        <w:rPr/>
      </w:r>
    </w:p>
    <w:p>
      <w:pPr>
        <w:pStyle w:val="Normal"/>
        <w:spacing w:before="0" w:after="0"/>
        <w:ind w:firstLine="709"/>
        <w:contextualSpacing/>
        <w:jc w:val="both"/>
        <w:rPr>
          <w:rFonts w:ascii="PT Serif" w:hAnsi="PT Serif" w:cs="PT Serif"/>
          <w:bCs/>
          <w:i/>
          <w:i/>
          <w:sz w:val="24"/>
          <w:szCs w:val="24"/>
        </w:rPr>
      </w:pPr>
      <w:r>
        <w:rPr>
          <w:rFonts w:cs="PT Serif" w:ascii="PT Serif" w:hAnsi="PT Serif"/>
          <w:bCs/>
          <w:i/>
          <w:sz w:val="24"/>
          <w:szCs w:val="24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34" w:right="1134" w:gutter="0" w:header="0" w:top="1134" w:footer="709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Arial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PT Serif">
    <w:charset w:val="01"/>
    <w:family w:val="roman"/>
    <w:pitch w:val="variable"/>
  </w:font>
  <w:font w:name="Symbol"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color w:themeColor="text1" w:val="000000"/>
      </w:rPr>
    </w:pPr>
    <w:r>
      <w:rPr>
        <w:color w:themeColor="text1" w:val="000000"/>
      </w:rPr>
      <w:fldChar w:fldCharType="begin"/>
    </w:r>
    <w:r>
      <w:rPr>
        <w:color w:themeColor="text1" w:val="000000"/>
      </w:rPr>
      <w:instrText xml:space="preserve"> PAGE </w:instrText>
    </w:r>
    <w:r>
      <w:rPr>
        <w:color w:themeColor="text1" w:val="000000"/>
      </w:rPr>
      <w:fldChar w:fldCharType="separate"/>
    </w:r>
    <w:r>
      <w:rPr>
        <w:color w:themeColor="text1" w:val="000000"/>
      </w:rPr>
      <w:t>4</w:t>
    </w:r>
    <w:r>
      <w:rPr>
        <w:color w:themeColor="text1" w:val="000000"/>
      </w:rPr>
      <w:fldChar w:fldCharType="end"/>
    </w:r>
  </w:p>
  <w:p>
    <w:pPr>
      <w:pStyle w:val="Footer"/>
      <w:rPr>
        <w:color w:themeColor="text1" w:val="000000"/>
      </w:rPr>
    </w:pPr>
    <w:r>
      <w:rPr>
        <w:color w:themeColor="text1"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color w:themeColor="text1" w:val="000000"/>
      </w:rPr>
    </w:pPr>
    <w:r>
      <w:rPr>
        <w:color w:themeColor="text1" w:val="000000"/>
      </w:rPr>
      <w:fldChar w:fldCharType="begin"/>
    </w:r>
    <w:r>
      <w:rPr>
        <w:color w:themeColor="text1" w:val="000000"/>
      </w:rPr>
      <w:instrText xml:space="preserve"> PAGE </w:instrText>
    </w:r>
    <w:r>
      <w:rPr>
        <w:color w:themeColor="text1" w:val="000000"/>
      </w:rPr>
      <w:fldChar w:fldCharType="separate"/>
    </w:r>
    <w:r>
      <w:rPr>
        <w:color w:themeColor="text1" w:val="000000"/>
      </w:rPr>
      <w:t>4</w:t>
    </w:r>
    <w:r>
      <w:rPr>
        <w:color w:themeColor="text1" w:val="000000"/>
      </w:rPr>
      <w:fldChar w:fldCharType="end"/>
    </w:r>
  </w:p>
  <w:p>
    <w:pPr>
      <w:pStyle w:val="Footer"/>
      <w:rPr>
        <w:color w:themeColor="text1" w:val="000000"/>
      </w:rPr>
    </w:pPr>
    <w:r>
      <w:rPr>
        <w:color w:themeColor="text1" w:val="000000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‒"/>
      <w:lvlJc w:val="left"/>
      <w:pPr>
        <w:tabs>
          <w:tab w:val="num" w:pos="0"/>
        </w:tabs>
        <w:ind w:left="709" w:hanging="360"/>
      </w:pPr>
      <w:rPr>
        <w:rFonts w:ascii="Times New Roman" w:hAnsi="Times New Roman" w:cs="Times New Roman" w:hint="default"/>
        <w:sz w:val="24"/>
        <w:color w:val="000000"/>
      </w:rPr>
    </w:lvl>
    <w:lvl w:ilvl="1">
      <w:start w:val="1"/>
      <w:numFmt w:val="bullet"/>
      <w:lvlText w:val="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sz w:val="24"/>
        <w:color w:val="000000"/>
      </w:rPr>
    </w:lvl>
    <w:lvl w:ilvl="2">
      <w:start w:val="1"/>
      <w:numFmt w:val="bullet"/>
      <w:lvlText w:val="·"/>
      <w:lvlJc w:val="left"/>
      <w:pPr>
        <w:tabs>
          <w:tab w:val="num" w:pos="0"/>
        </w:tabs>
        <w:ind w:left="2149" w:hanging="360"/>
      </w:pPr>
      <w:rPr>
        <w:rFonts w:ascii="Symbol" w:hAnsi="Symbol" w:cs="Symbol" w:hint="default"/>
        <w:sz w:val="24"/>
        <w:color w:val="000000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69" w:hanging="360"/>
      </w:pPr>
      <w:rPr>
        <w:rFonts w:ascii="Symbol" w:hAnsi="Symbol" w:cs="Symbol" w:hint="default"/>
        <w:sz w:val="24"/>
        <w:color w:val="000000"/>
      </w:rPr>
    </w:lvl>
    <w:lvl w:ilvl="4">
      <w:start w:val="1"/>
      <w:numFmt w:val="bullet"/>
      <w:lvlText w:val="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  <w:sz w:val="24"/>
        <w:color w:val="000000"/>
      </w:rPr>
    </w:lvl>
    <w:lvl w:ilvl="5">
      <w:start w:val="1"/>
      <w:numFmt w:val="bullet"/>
      <w:lvlText w:val="·"/>
      <w:lvlJc w:val="left"/>
      <w:pPr>
        <w:tabs>
          <w:tab w:val="num" w:pos="0"/>
        </w:tabs>
        <w:ind w:left="4309" w:hanging="360"/>
      </w:pPr>
      <w:rPr>
        <w:rFonts w:ascii="Symbol" w:hAnsi="Symbol" w:cs="Symbol" w:hint="default"/>
        <w:sz w:val="24"/>
        <w:color w:val="000000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29" w:hanging="360"/>
      </w:pPr>
      <w:rPr>
        <w:rFonts w:ascii="Symbol" w:hAnsi="Symbol" w:cs="Symbol" w:hint="default"/>
        <w:sz w:val="24"/>
        <w:color w:val="000000"/>
      </w:rPr>
    </w:lvl>
    <w:lvl w:ilvl="7">
      <w:start w:val="1"/>
      <w:numFmt w:val="bullet"/>
      <w:lvlText w:val="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  <w:sz w:val="24"/>
        <w:color w:val="000000"/>
      </w:rPr>
    </w:lvl>
    <w:lvl w:ilvl="8">
      <w:start w:val="1"/>
      <w:numFmt w:val="bullet"/>
      <w:lvlText w:val="·"/>
      <w:lvlJc w:val="left"/>
      <w:pPr>
        <w:tabs>
          <w:tab w:val="num" w:pos="0"/>
        </w:tabs>
        <w:ind w:left="6469" w:hanging="360"/>
      </w:pPr>
      <w:rPr>
        <w:rFonts w:ascii="Symbol" w:hAnsi="Symbol" w:cs="Symbol" w:hint="default"/>
        <w:sz w:val="24"/>
        <w:color w:val="000000"/>
      </w:rPr>
    </w:lvl>
  </w:abstractNum>
  <w:abstractNum w:abstractNumId="3">
    <w:lvl w:ilvl="0">
      <w:start w:val="1"/>
      <w:numFmt w:val="bullet"/>
      <w:lvlText w:val="‒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9">
    <w:lvl w:ilvl="0">
      <w:start w:val="1"/>
      <w:numFmt w:val="bullet"/>
      <w:lvlText w:val="‒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1" w:customStyle="1">
    <w:name w:val="Заголовок 1 Знак"/>
    <w:link w:val="Heading1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link w:val="Heading2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link w:val="Heading3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link w:val="Heading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link w:val="Heading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link w:val="Heading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link w:val="Heading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link w:val="Heading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link w:val="Heading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link w:val="Title"/>
    <w:uiPriority w:val="10"/>
    <w:qFormat/>
    <w:rPr>
      <w:sz w:val="48"/>
      <w:szCs w:val="48"/>
    </w:rPr>
  </w:style>
  <w:style w:type="character" w:styleId="Style6" w:customStyle="1">
    <w:name w:val="Подзаголовок Знак"/>
    <w:link w:val="Subtitle"/>
    <w:uiPriority w:val="11"/>
    <w:qFormat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Style8" w:customStyle="1">
    <w:name w:val="Верхний колонтитул Знак"/>
    <w:link w:val="Header"/>
    <w:uiPriority w:val="99"/>
    <w:qFormat/>
    <w:rPr/>
  </w:style>
  <w:style w:type="character" w:styleId="FooterChar" w:customStyle="1">
    <w:name w:val="Footer Char"/>
    <w:uiPriority w:val="99"/>
    <w:qFormat/>
    <w:rPr/>
  </w:style>
  <w:style w:type="character" w:styleId="Style9" w:customStyle="1">
    <w:name w:val="Нижний колонтитул Знак"/>
    <w:link w:val="Footer"/>
    <w:uiPriority w:val="99"/>
    <w:qFormat/>
    <w:rPr/>
  </w:style>
  <w:style w:type="character" w:styleId="Hyperlink">
    <w:name w:val="Hyperlink"/>
    <w:uiPriority w:val="99"/>
    <w:unhideWhenUsed/>
    <w:rPr>
      <w:color w:themeColor="hyperlink" w:val="0563C1"/>
      <w:u w:val="single"/>
    </w:rPr>
  </w:style>
  <w:style w:type="character" w:styleId="Style10" w:customStyle="1">
    <w:name w:val="Текст сноски Знак"/>
    <w:link w:val="FootnoteText"/>
    <w:uiPriority w:val="99"/>
    <w:qFormat/>
    <w:rPr>
      <w:sz w:val="18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1" w:customStyle="1">
    <w:name w:val="Текст концевой сноски Знак"/>
    <w:link w:val="EndnoteText"/>
    <w:uiPriority w:val="99"/>
    <w:qFormat/>
    <w:rPr>
      <w:sz w:val="20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87038"/>
    <w:rPr>
      <w:color w:themeColor="followedHyperlink" w:val="954F72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next w:val="Normal"/>
    <w:uiPriority w:val="35"/>
    <w:semiHidden/>
    <w:unhideWhenUsed/>
    <w:qFormat/>
    <w:pPr/>
    <w:rPr>
      <w:b/>
      <w:bCs/>
      <w:color w:themeColor="accent1" w:val="5B9BD5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Style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9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Style10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Style11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Heading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="0"/>
    </w:pPr>
    <w:rPr/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ds-markdown-paragraph" w:customStyle="1">
    <w:name w:val="ds-markdown-paragraph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EC4E6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F4B28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ACACA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FFDA6A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1ACDC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AAD190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8A2D8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8A2D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8A2D8" w:themeColor="accent1" w:sz="4" w:space="0"/>
          <w:left w:val="single" w:color="68A2D8" w:themeColor="accent1" w:sz="4" w:space="0"/>
          <w:bottom w:val="single" w:color="68A2D8" w:themeColor="accent1" w:sz="4" w:space="0"/>
          <w:right w:val="single" w:color="68A2D8" w:themeColor="accent1" w:sz="4" w:space="0"/>
        </w:tcBorders>
        <w:shd w:val="clear" w:color="68A2D8" w:fill="68A2D8" w:themeFill="accent1" w:themeFillTint="ea"/>
      </w:tcPr>
    </w:tblStylePr>
    <w:tblStylePr w:type="lastRow">
      <w:rPr>
        <w:b/>
      </w:rPr>
      <w:tblPr/>
      <w:tcPr>
        <w:tcBorders>
          <w:top w:val="single" w:color="68A2D8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F4B184" w:themeFill="accent2" w:themeFillTint="97"/>
      </w:tcPr>
    </w:tblStylePr>
    <w:tblStylePr w:type="lastRow">
      <w:rPr>
        <w:b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Row">
      <w:rPr>
        <w:b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FFD865" w:themeFill="accent4" w:themeFillTint="9a"/>
      </w:tcPr>
    </w:tblStylePr>
    <w:tblStylePr w:type="lastRow">
      <w:rPr>
        <w:b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fill="4472C4" w:themeFill="accent5"/>
      </w:tcPr>
    </w:tblStylePr>
    <w:tblStylePr w:type="lastRow">
      <w:rPr>
        <w:b/>
      </w:rPr>
      <w:tblPr/>
      <w:tcPr>
        <w:tcBorders>
          <w:top w:val="single" w:color="4472C4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Row">
      <w:rPr>
        <w:b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1"/>
      </w:tcPr>
    </w:tblStylePr>
    <w:tblStylePr w:type="firstCol">
      <w:rPr>
        <w:b/>
        <w:sz w:val="22"/>
      </w:rPr>
      <w:tblPr/>
      <w:tcPr>
        <w:shd w:val="clear" w:color="5B9BD5" w:fill="5B9BD5" w:themeFill="accent1"/>
      </w:tcPr>
    </w:tblStylePr>
    <w:tblStylePr w:type="lastCol">
      <w:rPr>
        <w:b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  <w:tblStylePr w:type="firstCol">
      <w:rPr>
        <w:b/>
        <w:sz w:val="22"/>
      </w:rPr>
      <w:tblPr/>
      <w:tcPr>
        <w:shd w:val="clear" w:color="ED7D31" w:fill="ED7D31" w:themeFill="accent2"/>
      </w:tcPr>
    </w:tblStylePr>
    <w:tblStylePr w:type="lastCol">
      <w:rPr>
        <w:b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  <w:tblStylePr w:type="firstCol">
      <w:rPr>
        <w:b/>
        <w:sz w:val="22"/>
      </w:rPr>
      <w:tblPr/>
      <w:tcPr>
        <w:shd w:val="clear" w:color="A5A5A5" w:fill="A5A5A5" w:themeFill="accent3"/>
      </w:tcPr>
    </w:tblStylePr>
    <w:tblStylePr w:type="lastCol">
      <w:rPr>
        <w:b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  <w:tblStylePr w:type="firstCol">
      <w:rPr>
        <w:b/>
        <w:sz w:val="22"/>
      </w:rPr>
      <w:tblPr/>
      <w:tcPr>
        <w:shd w:val="clear" w:color="FFC000" w:fill="FFC000" w:themeFill="accent4"/>
      </w:tcPr>
    </w:tblStylePr>
    <w:tblStylePr w:type="lastCol">
      <w:rPr>
        <w:b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5"/>
      </w:tcPr>
    </w:tblStylePr>
    <w:tblStylePr w:type="firstCol">
      <w:rPr>
        <w:b/>
        <w:sz w:val="22"/>
      </w:rPr>
      <w:tblPr/>
      <w:tcPr>
        <w:shd w:val="clear" w:color="4472C4" w:fill="4472C4" w:themeFill="accent5"/>
      </w:tcPr>
    </w:tblStylePr>
    <w:tblStylePr w:type="lastCol">
      <w:rPr>
        <w:b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  <w:tblStylePr w:type="firstCol">
      <w:rPr>
        <w:b/>
        <w:sz w:val="22"/>
      </w:rPr>
      <w:tblPr/>
      <w:tcPr>
        <w:shd w:val="clear" w:color="70AD47" w:fill="70AD47" w:themeFill="accent6"/>
      </w:tcPr>
    </w:tblStylePr>
    <w:tblStylePr w:type="lastCol">
      <w:rPr>
        <w:b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CCCEA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CCCEA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CCCEA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ACCCEA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A5A5A5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95AFDD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ADD394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8DA9DB" w:themeColor="accent5" w:sz="4" w:space="0"/>
          <w:right w:val="single" w:color="8DA9DB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8DA9DB" w:themeColor="accent5" w:sz="4" w:space="0"/>
          <w:bottom w:val="single" w:color="8DA9DB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fill="5B9BD5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fill="5B9BD5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8DA9DB" w:themeColor="accent5" w:sz="32" w:space="0"/>
          <w:bottom w:val="single" w:color="FFFFFF" w:themeColor="light1" w:sz="12" w:space="0"/>
        </w:tcBorders>
        <w:shd w:val="clear" w:color="8DA9DB" w:fill="8DA9DB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8DA9DB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DA9DB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5B9BD5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8DA9DB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8DA9DB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9C9C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C9C9C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DA9DB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8DA9DB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8DA9DB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9D08E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A9D08E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245A8D" w:themeColor="accent1" w:sz="4" w:space="0"/>
        <w:left w:val="single" w:color="245A8D" w:themeColor="accent1" w:sz="4" w:space="0"/>
        <w:bottom w:val="single" w:color="245A8D" w:themeColor="accent1" w:sz="4" w:space="0"/>
        <w:right w:val="single" w:color="245A8D" w:themeColor="accent1" w:sz="4" w:space="0"/>
        <w:insideH w:val="single" w:color="245A8D" w:themeColor="accent1" w:sz="4" w:space="0"/>
        <w:insideV w:val="single" w:color="245A8D" w:themeColor="accent1" w:sz="4" w:space="0"/>
      </w:tblBorders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254175" w:themeColor="accent5" w:sz="4" w:space="0"/>
        <w:left w:val="single" w:color="254175" w:themeColor="accent5" w:sz="4" w:space="0"/>
        <w:bottom w:val="single" w:color="254175" w:themeColor="accent5" w:sz="4" w:space="0"/>
        <w:right w:val="single" w:color="254175" w:themeColor="accent5" w:sz="4" w:space="0"/>
        <w:insideH w:val="single" w:color="254175" w:themeColor="accent5" w:sz="4" w:space="0"/>
        <w:insideV w:val="single" w:color="254175" w:themeColor="accent5" w:sz="4" w:space="0"/>
      </w:tblBorders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lang w:eastAsia="ru-RU"/>
      <w:sz w:val="20"/>
      <w:szCs w:val="20"/>
    </w:rPr>
    <w:tblPr>
      <w:tblStyleRowBandSize w:val="1"/>
      <w:tblStyleColBandSize w:val="1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5B9BD5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F4B184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9C9C9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FFD865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8DA9DB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8DA9DB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8DA9DB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A9D08E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Application>LibreOffice/25.2.2.2$MacOSX_AARCH64 LibreOffice_project/7370d4be9e3cf6031a51beef54ff3bda878e3fac</Application>
  <AppVersion>15.0000</AppVersion>
  <Pages>4</Pages>
  <Words>1257</Words>
  <Characters>8939</Characters>
  <CharactersWithSpaces>10115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2026-06-18T12:26:00Z</dcterms:created>
  <dc:creator>teacher</dc:creator>
  <dc:description/>
  <dc:language>en-US</dc:language>
  <cp:lastModifiedBy/>
  <dcterms:modified xsi:type="dcterms:W3CDTF">2026-06-22T18:43:44Z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