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Дмитренко Татьяна Анатольевна,</w:t>
      </w:r>
      <w:r>
        <w:rPr>
          <w14:ligatures w14:val="none"/>
        </w:rPr>
      </w:r>
      <w:r>
        <w:rPr>
          <w14:ligatures w14:val="none"/>
        </w:rPr>
      </w:r>
    </w:p>
    <w:p>
      <w:pPr>
        <w:ind w:firstLine="709"/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кандидат психологических наук, </w:t>
      </w:r>
      <w:r>
        <w:t xml:space="preserve">методист, высшая категория </w:t>
      </w:r>
      <w:r>
        <w:rPr>
          <w14:ligatures w14:val="none"/>
        </w:rPr>
      </w:r>
      <w:r>
        <w:rPr>
          <w14:ligatures w14:val="none"/>
        </w:rPr>
      </w:r>
    </w:p>
    <w:p>
      <w:pPr>
        <w:ind w:firstLine="709"/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ГБУ ДППО ЦПКС </w:t>
      </w:r>
      <w:r>
        <w:t xml:space="preserve">«Информационно</w:t>
      </w:r>
      <w:r>
        <w:t xml:space="preserve">-методический центр»</w:t>
      </w:r>
      <w:r>
        <w:rPr>
          <w14:ligatures w14:val="none"/>
        </w:rPr>
      </w:r>
      <w:r>
        <w:rPr>
          <w14:ligatures w14:val="none"/>
        </w:rPr>
      </w:r>
    </w:p>
    <w:p>
      <w:pPr>
        <w:ind w:firstLine="709"/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Фрунзенского района Санкт-Петербург</w:t>
      </w:r>
      <w:r>
        <w:t xml:space="preserve">а</w:t>
      </w:r>
      <w:r>
        <w:rPr>
          <w14:ligatures w14:val="none"/>
        </w:rPr>
      </w:r>
      <w:r>
        <w:rPr>
          <w14:ligatures w14:val="none"/>
        </w:rPr>
      </w:r>
    </w:p>
    <w:p>
      <w:pPr>
        <w:pStyle w:val="930"/>
        <w:ind w:firstLine="709"/>
        <w:jc w:val="left"/>
        <w:spacing w:before="0" w:beforeAutospacing="0" w:after="0" w:afterAutospacing="0" w:line="360" w:lineRule="auto"/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Синдром профессионального выгорания педагога</w:t>
      </w: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</w:p>
    <w:p>
      <w:pPr>
        <w:ind w:left="680" w:right="680" w:firstLine="709"/>
        <w:jc w:val="both"/>
        <w:spacing w:before="142" w:beforeAutospacing="0" w:after="142" w:afterAutospacing="0" w:line="360" w:lineRule="auto"/>
        <w:rPr>
          <w:sz w:val="24"/>
          <w:szCs w:val="24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i/>
          <w:iCs/>
          <w:sz w:val="24"/>
          <w:szCs w:val="24"/>
          <w:highlight w:val="none"/>
        </w:rPr>
      </w:r>
      <w:r>
        <w:rPr>
          <w:i/>
          <w:iCs/>
        </w:rPr>
        <w:t xml:space="preserve">Профессиональное выгорание – это синдром, который развивается на фоне постоянного стресса и ведет к истощению эмоциональных, личностных и энергетических ресурсов педагога.</w:t>
      </w:r>
      <w:r>
        <w:rPr>
          <w:rFonts w:ascii="PT Astra Serif" w:hAnsi="PT Astra Serif" w:eastAsia="PT Astra Serif" w:cs="PT Astra Serif"/>
          <w:b w:val="0"/>
          <w:bCs w:val="0"/>
          <w:i/>
          <w:iCs/>
          <w:sz w:val="24"/>
          <w:szCs w:val="24"/>
          <w:highlight w:val="none"/>
        </w:rPr>
        <w:t xml:space="preserve"> </w:t>
      </w:r>
      <w:r>
        <w:rPr>
          <w:i/>
          <w:iCs/>
        </w:rPr>
        <w:t xml:space="preserve">Сколько бы ни обсуждалась на конференциях, круглых столах, семинарах, ни декларировалась в литературе проблема профессионального выгорания, она остается актуальной для современной школы.</w:t>
      </w:r>
      <w:r>
        <w:rPr>
          <w:i/>
          <w:iCs/>
        </w:rPr>
        <w:t xml:space="preserve"> </w:t>
      </w:r>
      <w:r>
        <w:rPr>
          <w:i/>
          <w:iCs/>
        </w:rPr>
        <w:t xml:space="preserve">Для того, чтобы </w:t>
      </w:r>
      <w:r>
        <w:rPr>
          <w:i/>
          <w:iCs/>
        </w:rPr>
        <w:t xml:space="preserve">педагогу </w:t>
      </w:r>
      <w:r>
        <w:rPr>
          <w:i/>
          <w:iCs/>
        </w:rPr>
        <w:t xml:space="preserve">лучше понять своё состояние и уметь справляться с ним, необходимо знать стадии профессионального выгорания, его симптомы и техники его преодоления. 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Мониторинг образовательных запросов педагогов Фрунзенского района, организованный в ноябре 2023 года показал высокую </w:t>
      </w:r>
      <w:r>
        <w:t xml:space="preserve">востребованность </w:t>
      </w:r>
      <w:r>
        <w:t xml:space="preserve">программ </w:t>
      </w:r>
      <w:r>
        <w:t xml:space="preserve">повышения квалификации психолого-педагогической направленности. </w:t>
      </w:r>
      <w:r>
        <w:t xml:space="preserve">Особенно в</w:t>
      </w:r>
      <w:r>
        <w:t xml:space="preserve">остребованы программы обучающие педагога техникам преодоления профессионального выгорания. В соответствии с выявленными запросами в учебный план ГБУ «ИМЦ» для реализации в 2024 году включена дополнительная профессиональная программа повышения квалификации </w:t>
      </w:r>
      <w:r>
        <w:t xml:space="preserve">«</w:t>
      </w:r>
      <w:r>
        <w:t xml:space="preserve">Профессиональное здоровье педагога. Профилактика профессионального выгорания». </w:t>
      </w:r>
      <w:r>
        <w:rPr>
          <w14:ligatures w14:val="none"/>
        </w:rPr>
      </w:r>
      <w:r>
        <w:rPr>
          <w14:ligatures w14:val="none"/>
        </w:rPr>
      </w:r>
    </w:p>
    <w:p>
      <w:pPr>
        <w:ind w:firstLine="709"/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Профессиональное выгорание - </w:t>
      </w:r>
      <w:r>
        <w:t xml:space="preserve">синдром, развивающийся на </w:t>
      </w:r>
      <w:r>
        <w:t xml:space="preserve">фоне хронического стресса и ведущий к</w:t>
      </w:r>
      <w:r>
        <w:t xml:space="preserve"> истощению эмоциональных, энергетических</w:t>
      </w:r>
      <w:r>
        <w:t xml:space="preserve"> </w:t>
      </w:r>
      <w:r>
        <w:t xml:space="preserve">и</w:t>
      </w:r>
      <w:r>
        <w:t xml:space="preserve"> </w:t>
      </w:r>
      <w:r>
        <w:t xml:space="preserve"> лич</w:t>
      </w:r>
      <w:r>
        <w:t xml:space="preserve">ностных ресурсов работающего человека</w:t>
      </w:r>
      <w:r>
        <w:t xml:space="preserve">. </w:t>
      </w:r>
      <w:r>
        <w:t xml:space="preserve">Это состояние возникает у педагогов вследствие душевного переутомления, когда в профессиональные обязательства входит отдача «тепла своей души», эмоциональное вкладывание </w:t>
      </w:r>
      <w:r>
        <w:t xml:space="preserve">проявляется в виде непроходящей усталости, подавленности, немотивированной а</w:t>
      </w:r>
      <w:r>
        <w:t xml:space="preserve">грессивности, недовольства собой и окружающими</w:t>
      </w:r>
      <w:r>
        <w:t xml:space="preserve">.</w:t>
      </w:r>
      <w:r>
        <w:rPr>
          <w14:ligatures w14:val="none"/>
        </w:rPr>
      </w:r>
      <w:r>
        <w:rPr>
          <w14:ligatures w14:val="none"/>
        </w:rPr>
      </w:r>
    </w:p>
    <w:p>
      <w:pPr>
        <w:ind w:firstLine="709"/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Синдром профессионального выгорания</w:t>
      </w:r>
      <w:r>
        <w:t xml:space="preserve"> </w:t>
      </w:r>
      <w:r>
        <w:t xml:space="preserve">- не медицинский диагноз, и вовсе не означает, что такое состояние присуще каждому человеку на определенном этапе его жизни, профессиональной карьеры. Однако сущеcтвует ряд специальностей, обладатели которых в большей степени, чем другие, подвержены риску </w:t>
      </w:r>
      <w:r>
        <w:t xml:space="preserve">профессионального «выгорания»</w:t>
      </w:r>
      <w:r>
        <w:t xml:space="preserve">, поскольку используют в работе с людьми ресурсы своей психики. Профессия </w:t>
      </w:r>
      <w:r>
        <w:t xml:space="preserve">педагога</w:t>
      </w:r>
      <w:r>
        <w:t xml:space="preserve"> относятся именно к этой категории.</w:t>
      </w:r>
      <w:r>
        <w:t xml:space="preserve"> Профессиональное или эмоциональное выгорание </w:t>
      </w:r>
      <w:r>
        <w:t xml:space="preserve">может оказывать влияние и на развитие заболеваний.</w:t>
      </w:r>
      <w:r>
        <w:rPr>
          <w14:ligatures w14:val="none"/>
        </w:rPr>
      </w:r>
      <w:r>
        <w:rPr>
          <w14:ligatures w14:val="none"/>
        </w:rPr>
      </w:r>
    </w:p>
    <w:p>
      <w:pPr>
        <w:ind w:firstLine="709"/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В современном обществе к педагогам предъявляются высокие требования, стремясь им соответствовать учителя вынуждены беспрестанно повышать </w:t>
      </w:r>
      <w:r>
        <w:t xml:space="preserve">уровень профессиональной компетентности</w:t>
      </w:r>
      <w:r>
        <w:t xml:space="preserve">, что приводит к физичес</w:t>
      </w:r>
      <w:r>
        <w:t xml:space="preserve">ким и интеллектуальным перегрузкам.</w:t>
      </w:r>
      <w:r>
        <w:t xml:space="preserve"> Школьная жизнь буквально насыщена напряженными ситуациями: трудности взаимодействия с учениками на уроке, нарушения дисциплины учащимися, конфликтные ситуации с родителями, администрацией, сотрудниками, всё это приводят к истощению эмоциональных ресурсов </w:t>
      </w:r>
      <w:r>
        <w:t xml:space="preserve">учителя.</w:t>
      </w:r>
      <w:r>
        <w:rPr>
          <w14:ligatures w14:val="none"/>
        </w:rPr>
      </w:r>
      <w:r>
        <w:rPr>
          <w14:ligatures w14:val="none"/>
        </w:rPr>
      </w:r>
    </w:p>
    <w:p>
      <w:pPr>
        <w:ind w:firstLine="709"/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Перегрузки на работе </w:t>
      </w:r>
      <w:r>
        <w:t xml:space="preserve">сказываются и на личной жизни специалистов. Воспитание собст</w:t>
      </w:r>
      <w:r>
        <w:t xml:space="preserve">венных детей порой уходит на задний план, что является причиной формирования чувства вины, собственной некомпетентности в вопросах воспитания, апатии или, напротив, раздражения и агрессии, направленной на себя либо на окружающих. Таким образом, следствием </w:t>
      </w:r>
      <w:r>
        <w:t xml:space="preserve">профессионального выгорания</w:t>
      </w:r>
      <w:r>
        <w:t xml:space="preserve"> </w:t>
      </w:r>
      <w:r>
        <w:t xml:space="preserve">могут стать проблемы в семье, нарушение взаимоотношений с родными и в первую очередь - с детьми.</w:t>
      </w:r>
      <w:r>
        <w:rPr>
          <w14:ligatures w14:val="none"/>
        </w:rPr>
      </w:r>
      <w:r>
        <w:rPr>
          <w14:ligatures w14:val="none"/>
        </w:rPr>
      </w:r>
    </w:p>
    <w:p>
      <w:pPr>
        <w:ind w:firstLine="709"/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Предрасполагающими факторами возникновения профессинального выгорания у педагогов могут быть индивидуальные особенности учителя: перфекционизм, стремление все контролировать, нежелание или неумение делегировать обязанности. </w:t>
      </w:r>
      <w:r>
        <w:rPr>
          <w14:ligatures w14:val="none"/>
        </w:rPr>
      </w:r>
      <w:r>
        <w:rPr>
          <w14:ligatures w14:val="none"/>
        </w:rPr>
      </w:r>
    </w:p>
    <w:p>
      <w:pPr>
        <w:ind w:firstLine="709"/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Высокую эмоциональную напряженность педагогической деятельности придают стресс-факторы, постоянно присутствующие в работе учителя. Это:</w:t>
      </w:r>
      <w:r>
        <w:rPr>
          <w14:ligatures w14:val="none"/>
        </w:rPr>
      </w:r>
      <w:r>
        <w:rPr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повышенная продолжительность рабочего дня; </w:t>
      </w:r>
      <w:r>
        <w:rPr>
          <w14:ligatures w14:val="none"/>
        </w:rPr>
      </w:r>
      <w:r>
        <w:rPr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высокий динамизм, нехватка времени; </w:t>
      </w:r>
      <w:r>
        <w:rPr>
          <w14:ligatures w14:val="none"/>
        </w:rPr>
      </w:r>
      <w:r>
        <w:rPr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рабочие перегрузки; </w:t>
      </w:r>
      <w:r>
        <w:rPr>
          <w14:ligatures w14:val="none"/>
        </w:rPr>
      </w:r>
      <w:r>
        <w:rPr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активация психических процессов и физических ресурсов на пределе собственных возможностей; </w:t>
      </w:r>
      <w:r>
        <w:rPr>
          <w14:ligatures w14:val="none"/>
        </w:rPr>
      </w:r>
      <w:r>
        <w:rPr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особая ответственность  </w:t>
      </w:r>
      <w:r>
        <w:t xml:space="preserve">педагога</w:t>
      </w:r>
      <w:r>
        <w:t xml:space="preserve"> </w:t>
      </w:r>
      <w:r>
        <w:t xml:space="preserve">за выполнение своих  профессиональных обязанностей; </w:t>
      </w:r>
      <w:r>
        <w:rPr>
          <w14:ligatures w14:val="none"/>
        </w:rPr>
      </w:r>
      <w:r>
        <w:rPr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высокие эмоциональные и интеллектуальные нагрузки; </w:t>
      </w:r>
      <w:r>
        <w:rPr>
          <w14:ligatures w14:val="none"/>
        </w:rPr>
      </w:r>
      <w:r>
        <w:rPr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14:ligatures w14:val="none"/>
        </w:rPr>
      </w:pPr>
      <w:r>
        <w:t xml:space="preserve">повышенные требования к профессиональным знаниям и умениям педагога, к результатам его труда</w:t>
      </w:r>
      <w:r>
        <w:t xml:space="preserve">. </w:t>
      </w:r>
      <w:r>
        <w:rPr>
          <w14:ligatures w14:val="none"/>
        </w:rPr>
      </w:r>
      <w:r>
        <w:rPr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bCs/>
          <w:i/>
          <w14:ligatures w14:val="none"/>
        </w:rPr>
      </w:pPr>
      <w:r>
        <w:t xml:space="preserve">Для того, чтобы </w:t>
      </w:r>
      <w:r>
        <w:t xml:space="preserve">педагогу </w:t>
      </w:r>
      <w:r>
        <w:t xml:space="preserve">лучше понять своё состояние и уметь справляться с ним, необходимо знать </w:t>
      </w:r>
      <w:r>
        <w:rPr>
          <w:i/>
          <w:iCs/>
        </w:rPr>
        <w:t xml:space="preserve">стадии профессионального выгорания, его симптомы и техники его преодоления. </w:t>
      </w:r>
      <w:r>
        <w:rPr>
          <w:bCs/>
          <w:i/>
          <w14:ligatures w14:val="none"/>
        </w:rPr>
      </w:r>
      <w:r>
        <w:rPr>
          <w:bCs/>
          <w:i/>
          <w14:ligatures w14:val="none"/>
        </w:rPr>
      </w:r>
    </w:p>
    <w:p>
      <w:pPr>
        <w:ind w:firstLine="709"/>
        <w:jc w:val="both"/>
        <w:spacing w:before="0" w:beforeAutospacing="0" w:after="0" w:afterAutospacing="0" w:line="360" w:lineRule="auto"/>
        <w:rPr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t xml:space="preserve">Эмоциональное выгорание</w:t>
      </w:r>
      <w:r>
        <w:t xml:space="preserve"> не появляется </w:t>
      </w:r>
      <w:r>
        <w:t xml:space="preserve">одномоментно</w:t>
      </w:r>
      <w:r>
        <w:t xml:space="preserve">, оно развивается постепенно во времени. </w:t>
      </w:r>
      <w:r>
        <w:t xml:space="preserve">На что прежде всего необходимо </w:t>
      </w:r>
      <w:r>
        <w:t xml:space="preserve">обратить внимание педагогу</w:t>
      </w:r>
      <w:r>
        <w:t xml:space="preserve">, чтобы определить у себя </w:t>
      </w:r>
      <w:r>
        <w:t xml:space="preserve">симптомы профессионального выгорания:</w:t>
      </w:r>
      <w:r>
        <w:rPr>
          <w14:ligatures w14:val="none"/>
        </w:rPr>
      </w:r>
      <w:r>
        <w:rPr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tabs>
          <w:tab w:val="clear" w:pos="720" w:leader="none"/>
        </w:tabs>
        <w:rPr>
          <w14:ligatures w14:val="none"/>
        </w:rPr>
      </w:pPr>
      <w:r>
        <w:t xml:space="preserve">частые беспричинные головные боли </w:t>
      </w:r>
      <w:r>
        <w:t xml:space="preserve">обычно нарастающие к вечеру</w:t>
      </w:r>
      <w:r>
        <w:t xml:space="preserve">, постоянные расстройства желудочно-кишечного тракта; </w:t>
      </w:r>
      <w:r>
        <w:rPr>
          <w14:ligatures w14:val="none"/>
        </w:rPr>
      </w:r>
      <w:r>
        <w:rPr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14:ligatures w14:val="none"/>
        </w:rPr>
      </w:pPr>
      <w:r>
        <w:rPr>
          <w:lang w:val="ru-RU"/>
        </w:rPr>
      </w:r>
      <w:r>
        <w:t xml:space="preserve">проблемы со сном (невозможность быстро заснуть, прерывистый сон, раннее пробуждение). </w:t>
      </w:r>
      <w:r>
        <w:rPr>
          <w:lang w:val="ru-RU"/>
        </w:rPr>
        <w:t xml:space="preserve">Бессонница или постоянное желание спать</w:t>
      </w:r>
      <w:r>
        <w:t xml:space="preserve"> в течение всего дня</w:t>
      </w:r>
      <w:r>
        <w:rPr>
          <w:lang w:val="ru-RU"/>
        </w:rPr>
        <w:t xml:space="preserve">;</w:t>
      </w:r>
      <w:r>
        <w:rPr>
          <w14:ligatures w14:val="none"/>
        </w:rPr>
      </w:r>
      <w:r>
        <w:rPr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  <w:t xml:space="preserve">слабость, вялость, </w:t>
      </w:r>
      <w:r>
        <w:rPr>
          <w:lang w:val="ru-RU"/>
        </w:rPr>
        <w:t xml:space="preserve">ослабление физической выносливости;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lang w:val="ru-RU"/>
        </w:rPr>
        <w:t xml:space="preserve">чрезмерная потливость;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lang w:val="ru-RU"/>
        </w:rPr>
        <w:t xml:space="preserve">ухудшение ночного зрения;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  <w:t xml:space="preserve">ухудшение памяти и концентрации внимания;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  <w:t xml:space="preserve">расстройства мотивации («не хочу», «больше не могу», «все надоело»);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  <w:t xml:space="preserve">перепады настроения, эмоциональная несдержанность;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  <w:t xml:space="preserve">повышенная раздражительность, обидчивость;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  <w:t xml:space="preserve">ранимость, плаксивость («слезы близко»).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lang w:val="ru-RU"/>
        </w:rPr>
        <w:t xml:space="preserve">постоянное переживание негативных эмоций, для которых во внешней ситуации причин нет (чувство вины, обиды, стыда, подозрительность, скованность);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lang w:val="ru-RU"/>
        </w:rPr>
        <w:t xml:space="preserve">чувство неосознанного беспокойства и повышенной тревожности (ощущение, что </w:t>
      </w:r>
      <w:r>
        <w:rPr>
          <w:lang w:val="ru-RU"/>
        </w:rPr>
        <w:t xml:space="preserve">«что-то не так, как надо»);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lang w:val="ru-RU"/>
        </w:rPr>
        <w:t xml:space="preserve">чувство гиперответственности и постоянное чувство страха, что «не получится» или «я не справлюсь»;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lang w:val="ru-RU"/>
        </w:rPr>
        <w:t xml:space="preserve">общая негативная установка на жизненные и профессиональные перспективы (по типу «как ни старайся, все равно ничего хорошего не получится»).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lang w:val="ru-RU"/>
        </w:rPr>
        <w:t xml:space="preserve">Существуют и поведенческие симптомы профессионального выгорания: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lang w:val="ru-RU"/>
        </w:rPr>
        <w:t xml:space="preserve">ощущение, что работа становится все тяжелее и тяжелее, а выполнять ее — все труднее и труднее;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lang w:val="ru-RU"/>
        </w:rPr>
        <w:t xml:space="preserve">сотрудник заметно меняет свой рабочий режим (увеличивает или сокращает время работы);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lang w:val="ru-RU"/>
        </w:rPr>
        <w:t xml:space="preserve">постоянно, без необходимости, берет работу домой, но дома ее не делает;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lang w:val="ru-RU"/>
        </w:rPr>
        <w:t xml:space="preserve">чувство бесполезности, неверие в улучшения, снижение энтузиазма по отношению к работе, безразличие к результатам;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lang w:val="ru-RU"/>
        </w:rPr>
        <w:t xml:space="preserve">невыполнение важных, приоритетных задач и «застревание» на мелких деталях, не соответствующая служебным требованиям трата большей части рабочего времени на мало осознаваемое или не осознаваемое выполнение автоматических и элементарных действий;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8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lang w:val="ru-RU"/>
        </w:rPr>
        <w:t xml:space="preserve">дистанцированность от коллег, повышение неадекватной критичности.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lang w:val="ru-RU"/>
        </w:rPr>
        <w:t xml:space="preserve">Если учитель замечает у себя один или несколько симптомов профессионального выгорания, ему рекомендуется пройти </w:t>
      </w:r>
      <w:r>
        <w:rPr>
          <w:color w:val="366191" w:themeColor="accent1" w:themeShade="BF"/>
          <w:u w:val="single"/>
          <w:lang w:val="ru-RU"/>
        </w:rPr>
        <w:t xml:space="preserve">онлайн-тест </w:t>
      </w:r>
      <w:hyperlink r:id="rId10" w:tooltip="https://vygoranie.com/test-na-emocionalnoe-vygoranie/?_gl=1*dgmkp0*_ga*MzY3NjY4NzM3LjE3MDY1Mjg2ODU.*_ga_CHHKRY1W4Q*MTcwNzI5OTU3NC4zLjEuMTcwNzI5OTcxMy4wLjAuMA.." w:history="1">
        <w:r>
          <w:rPr>
            <w:color w:val="366191" w:themeColor="accent1" w:themeShade="BF"/>
            <w:u w:val="single"/>
            <w:lang w:val="ru-RU"/>
          </w:rPr>
          <w:t xml:space="preserve"> по выгоранию</w:t>
        </w:r>
      </w:hyperlink>
      <w:r>
        <w:rPr>
          <w:color w:val="366191" w:themeColor="accent1" w:themeShade="BF"/>
          <w:u w:val="single"/>
          <w:lang w:val="ru-RU"/>
        </w:rPr>
        <w:t xml:space="preserve"> «Бёрн. Аут».</w:t>
      </w:r>
      <w:r>
        <w:rPr>
          <w:lang w:val="ru-RU"/>
        </w:rPr>
        <w:t xml:space="preserve"> Тест составлен на основе опросника Маслач и помогает оценить уровень выгорания по трём параметрам: «Эмоциональное истощение», «Деперсонализация» и «Профессиональные достижения».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lang w:val="ru-RU"/>
        </w:rPr>
        <w:t xml:space="preserve">Сколько бы ни обсуждалась на конференциях, круглых столах, семинарах, ни декларировалась в литературе проблема профессионального выгорания педагогов, она остается актуальной для современной школы. </w:t>
      </w:r>
      <w:r>
        <w:rPr>
          <w:lang w:val="ru-RU"/>
        </w:rPr>
        <w:t xml:space="preserve">Среди </w:t>
      </w:r>
      <w:r>
        <w:rPr>
          <w:lang w:val="ru-RU"/>
        </w:rPr>
        <w:t xml:space="preserve">слушателей курсов повышения квалификации по программе «</w:t>
      </w:r>
      <w:r>
        <w:rPr>
          <w:lang w:val="ru-RU"/>
        </w:rPr>
        <w:t xml:space="preserve">Профессиональное здоровье педагога. </w:t>
      </w:r>
      <w:r>
        <w:rPr>
          <w:lang w:val="ru-RU"/>
        </w:rPr>
        <w:t xml:space="preserve">Профилактика профессионального выгорания» </w:t>
      </w:r>
      <w:r>
        <w:rPr>
          <w:lang w:val="ru-RU"/>
        </w:rPr>
        <w:t xml:space="preserve">с целью изучения синдрома выгорания </w:t>
      </w:r>
      <w:r>
        <w:rPr>
          <w:lang w:val="ru-RU"/>
        </w:rPr>
        <w:t xml:space="preserve">проводилось исследование. В нем приняли участие 50 школьных </w:t>
      </w:r>
      <w:r>
        <w:rPr>
          <w:lang w:val="ru-RU"/>
        </w:rPr>
        <w:t xml:space="preserve">учителей. Результаты показали: у пяти педагогов полностью сформирован синдром эмоционального выгорания; практически у каждого педагога можно было наблюдать те или иные симптомы. </w:t>
      </w:r>
      <w:r>
        <w:rPr>
          <w:lang w:val="ru-RU"/>
        </w:rPr>
        <w:t xml:space="preserve">У 48% педагогов обнаружены признаки напряжения (первая фаза синдрома), что проявляется в ощущении тревожности, снижении настроения, повышенной степени эмоциональной впечатлительности</w:t>
      </w:r>
      <w:r>
        <w:rPr>
          <w:lang w:val="ru-RU"/>
        </w:rPr>
        <w:t xml:space="preserve">, </w:t>
      </w:r>
      <w:r>
        <w:rPr>
          <w:lang w:val="ru-RU"/>
        </w:rPr>
        <w:t xml:space="preserve">у 40% педагогов </w:t>
      </w:r>
      <w:r>
        <w:rPr>
          <w:lang w:val="ru-RU"/>
        </w:rPr>
        <w:t xml:space="preserve">наблюдались психосоматические проявления, у 30% – эмоциональный дефицит и нарушения коммуникации.</w:t>
      </w:r>
      <w:r>
        <w:rPr>
          <w:lang w:val="ru-RU"/>
        </w:rPr>
        <w:t xml:space="preserve"> </w:t>
      </w:r>
      <w:r>
        <w:rPr>
          <w:lang w:val="ru-RU"/>
        </w:rPr>
        <w:t xml:space="preserve">Особо актуальной при рассмотрении данной проблемы становится организация непрерывного, систематического сопровождения психологической школьной службой деятельности педагога с целью профилактики и преодоления синдрома профессионального выгорания.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  <w:suppressLineNumbers w:val="0"/>
      </w:pPr>
      <w:r>
        <w:rPr>
          <w:lang w:val="ru-RU"/>
        </w:rPr>
        <w:t xml:space="preserve">Что же может </w:t>
      </w:r>
      <w:r>
        <w:rPr>
          <w:lang w:val="ru-RU"/>
        </w:rPr>
        <w:t xml:space="preserve">сделать </w:t>
      </w:r>
      <w:r>
        <w:rPr>
          <w:lang w:val="ru-RU"/>
        </w:rPr>
        <w:t xml:space="preserve"> педагог, определив у себя признаки профессионального выгорания?</w:t>
      </w:r>
      <w:r>
        <w:rPr>
          <w:lang w:val="ru-RU"/>
        </w:rPr>
        <w:t xml:space="preserve"> </w:t>
      </w:r>
      <w:r>
        <w:rPr>
          <w:lang w:val="ru-RU"/>
        </w:rPr>
        <w:t xml:space="preserve">Вот несколько советов от психолога: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i/>
          <w:iCs/>
          <w:lang w:val="ru-RU"/>
        </w:rPr>
        <w:t xml:space="preserve">Планируйте рабочее время. </w:t>
      </w:r>
      <w:r>
        <w:rPr>
          <w:lang w:val="ru-RU"/>
        </w:rPr>
        <w:t xml:space="preserve">Одна из причин профессионального выгорания – постоянные авралы на работе. Не успевая разобраться с одной задачей, вы беретесь за следующую и к концу дня впадаете в панику, оставшись наедине с горой неоконченных дел. Рациональное планирование рабочего време</w:t>
      </w:r>
      <w:r>
        <w:rPr>
          <w:lang w:val="ru-RU"/>
        </w:rPr>
        <w:t xml:space="preserve">ни – первый шаг в профилактике синдрома профессионального выгорания. Начинайте каждое утро понедельника с составления плана на предстоящую неделю. Самые сложные задачи решайте в первую очередь.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i/>
          <w:iCs/>
          <w:lang w:val="ru-RU"/>
        </w:rPr>
        <w:t xml:space="preserve">Делайте перерывы</w:t>
      </w:r>
      <w:r>
        <w:rPr>
          <w:i/>
          <w:iCs/>
          <w:lang w:val="ru-RU"/>
        </w:rPr>
        <w:t xml:space="preserve">.</w:t>
      </w:r>
      <w:r>
        <w:rPr>
          <w:lang w:val="ru-RU"/>
        </w:rPr>
        <w:t xml:space="preserve"> </w:t>
      </w:r>
      <w:r>
        <w:rPr>
          <w:lang w:val="ru-RU"/>
        </w:rPr>
        <w:t xml:space="preserve">Даже если у вас непочатый край работы, каждые два часа делайте десятиминутные перерывы и устраивайте полноценный обед. Во время паузы отвлекайтесь от рабочих задач, переключайтесь на другие темы. По возмож</w:t>
      </w:r>
      <w:r>
        <w:rPr>
          <w:lang w:val="ru-RU"/>
        </w:rPr>
        <w:t xml:space="preserve">ности выходите на небольшие прогулки, дышите свежим воздухом. Полезно делать простую разминку для глаз.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i/>
          <w:iCs/>
          <w:lang w:val="ru-RU"/>
        </w:rPr>
        <w:t xml:space="preserve">Смотрите на вещи проще</w:t>
      </w:r>
      <w:r>
        <w:rPr>
          <w:i/>
          <w:iCs/>
          <w:lang w:val="ru-RU"/>
        </w:rPr>
        <w:t xml:space="preserve">. </w:t>
      </w:r>
      <w:r>
        <w:rPr>
          <w:lang w:val="ru-RU"/>
        </w:rPr>
        <w:t xml:space="preserve">Психологи утверждают: причина стресса кроется не в самой работе, а в вашем отношении к ней. Старайтесь относиться к стрессовым ситуациям с позитивом, не давайте профессиональным трудностям одержать над вами верх. «Отпускайте» проблему, подключайте чувство </w:t>
      </w:r>
      <w:r>
        <w:rPr>
          <w:lang w:val="ru-RU"/>
        </w:rPr>
        <w:t xml:space="preserve">юмора. Полезным будет поговорить о том, что вас тревожит,  с близкими или со школьным  психологом. Психолог поможет найти выход из сложной ситуации.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i/>
          <w:iCs/>
          <w:lang w:val="ru-RU"/>
        </w:rPr>
        <w:t xml:space="preserve">Занимайтесь спортом.</w:t>
      </w:r>
      <w:r>
        <w:rPr>
          <w:lang w:val="ru-RU"/>
        </w:rPr>
        <w:t xml:space="preserve"> </w:t>
      </w:r>
      <w:r>
        <w:rPr>
          <w:lang w:val="ru-RU"/>
        </w:rPr>
        <w:t xml:space="preserve">Уделяйте время физическим нагрузкам.  Легкая зарядка </w:t>
      </w:r>
      <w:r>
        <w:rPr>
          <w:lang w:val="ru-RU"/>
        </w:rPr>
        <w:t xml:space="preserve">перед работо</w:t>
      </w:r>
      <w:r>
        <w:rPr>
          <w:lang w:val="ru-RU"/>
        </w:rPr>
        <w:t xml:space="preserve">й, йога или фитнес после работы, регулярные прогулки – все это пойдет вам на пользу и поможет отвлечься от стресс</w:t>
      </w:r>
      <w:r>
        <w:rPr>
          <w:lang w:val="ru-RU"/>
        </w:rPr>
        <w:t xml:space="preserve">овых факторов. Умеренные физические нагрузки вызывают прилив энергии, заряжают уставший организм бодростью и возвращают жизнерадостное настроение.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i/>
          <w:iCs/>
          <w:lang w:val="ru-RU"/>
        </w:rPr>
        <w:t xml:space="preserve">Занимайтесь творчеством</w:t>
      </w:r>
      <w:r>
        <w:rPr>
          <w:i/>
          <w:iCs/>
          <w:lang w:val="ru-RU"/>
        </w:rPr>
        <w:t xml:space="preserve">.</w:t>
      </w:r>
      <w:r>
        <w:rPr>
          <w:lang w:val="ru-RU"/>
        </w:rPr>
        <w:t xml:space="preserve"> </w:t>
      </w:r>
      <w:r>
        <w:rPr>
          <w:lang w:val="ru-RU"/>
        </w:rPr>
        <w:t xml:space="preserve">Новое хобби поможет расслабиться, забыть о неприятных моментах и переключиться на позитивную волну. Не старайтесь следовать моде, выберите занятие по душе: вязание, вышивка, рисование, раскрашивание картин по номерам, </w:t>
      </w:r>
      <w:r>
        <w:rPr>
          <w:lang w:val="ru-RU"/>
        </w:rPr>
        <w:t xml:space="preserve">восточные танцы. Уделяя свободное врем</w:t>
      </w:r>
      <w:r>
        <w:rPr>
          <w:lang w:val="ru-RU"/>
        </w:rPr>
        <w:t xml:space="preserve">я тому, что приносит вам радость, вы почувствуйте, как стрессов в вашей жизни станет на порядок меньше.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i/>
          <w:iCs/>
          <w:lang w:val="ru-RU"/>
        </w:rPr>
        <w:t xml:space="preserve">Избегайте конфликтов. </w:t>
      </w:r>
      <w:r>
        <w:rPr>
          <w:lang w:val="ru-RU"/>
        </w:rPr>
        <w:t xml:space="preserve">Конфликт – это один из самых серьезных стрессовых факторов. Старайтесь избегать столкновений с коллегами и близкими, учитесь управлять эмоциями и отстаивать свою позицию в конструктивном диалоге. </w:t>
      </w:r>
      <w:r>
        <w:rPr>
          <w:lang w:val="ru-RU"/>
        </w:rPr>
        <w:t xml:space="preserve">Изучите инструменты управления конфликтами – они пригодятся вам не только на работе, но и в повседневной жизни.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  <w:t xml:space="preserve">Следуя этим простым правилам, вы научитесь преодолевать волнение и стресс, поддерживать позитивное настроение и интерес к своим профессиональным обязанностям.</w:t>
      </w:r>
      <w:r>
        <w:rPr>
          <w:lang w:val="ru-RU"/>
        </w:rPr>
        <w:t xml:space="preserve"> В вашей жизни должно быть всё: семья, дети, работа, хороши</w:t>
      </w:r>
      <w:r>
        <w:rPr>
          <w:lang w:val="ru-RU"/>
        </w:rPr>
        <w:t xml:space="preserve">й отдых, общение с друзьями, спорт, хобби и т.д.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  <w:t xml:space="preserve">Для того, чтобы</w:t>
      </w:r>
      <w:r>
        <w:rPr>
          <w:lang w:val="ru-RU"/>
        </w:rPr>
        <w:t xml:space="preserve"> сделать свою жизнь гармоничной и понять что надо в ней не так, эффективно использовать методику «Колесо жизненного баланса. Как достичь гармонии». </w:t>
      </w:r>
      <w:r>
        <w:rPr>
          <w:lang w:val="ru-RU"/>
        </w:rPr>
        <w:t xml:space="preserve">Технику в 70-х годах прошлого века придумал Пол Майер, основатель Института мотивации успеха, автор более 100 книг по саморазвитию.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</w:r>
      <w:r>
        <w:rPr>
          <w:lang w:val="ru-RU"/>
        </w:rPr>
        <w:t xml:space="preserve">Перерисуйте эту картинку и соедините точки линиями. Для этого оцените уровень своей удовлетворенности в каждом жизненном секторе, проставив цифры от О до 10 и соединив их линиями. 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930"/>
        <w:jc w:val="both"/>
        <w:spacing w:before="0" w:beforeAutospacing="0" w:after="0" w:afterAutospacing="0" w:line="360" w:lineRule="auto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eastAsia="PT Astra Serif" w:cs="PT Astra Serif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90034" cy="2175566"/>
                <wp:effectExtent l="0" t="0" r="0" b="0"/>
                <wp:docPr id="1" name=""/>
                <wp:cNvGraphicFramePr>
                  <a:graphicFrameLocks xmlns:a="http://schemas.openxmlformats.org/drawingml/2006/main" noChangeAspect="1" noGrp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76600989" name="Picture 4"/>
                        <pic:cNvPicPr>
                          <a:picLocks noChangeAspect="1" noGrp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2590034" cy="21755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203.94pt;height:171.30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bCs/>
          <w:i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i/>
          <w:iCs/>
          <w:highlight w:val="none"/>
          <w:lang w:val="ru-RU"/>
        </w:rPr>
        <w:t xml:space="preserve">Рисунок 1. Колесо жизненного баланса»</w:t>
      </w:r>
      <w:r>
        <w:rPr>
          <w:bCs/>
          <w:i/>
          <w14:ligatures w14:val="none"/>
        </w:rPr>
      </w:r>
      <w:r>
        <w:rPr>
          <w:bCs/>
          <w:i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highlight w:val="none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</w:r>
      <w:r>
        <w:rPr>
          <w:lang w:val="ru-RU"/>
        </w:rPr>
        <w:t xml:space="preserve">Получившаяся фигура — это ваше «Колесо жизни». </w:t>
      </w:r>
      <w:r>
        <w:rPr>
          <w:lang w:val="ru-RU"/>
        </w:rPr>
        <w:t xml:space="preserve">Чем ближе она к форме правильного круга, тем лучше сбалансирована ваша жизнь, тем гармоничнее вы вопло­щаете все задуманное и тем более надежно вы защищены от профессионального истощения. </w:t>
      </w:r>
      <w:r>
        <w:rPr>
          <w:highlight w:val="none"/>
          <w:lang w:val="ru-RU"/>
          <w14:ligatures w14:val="none"/>
        </w:rPr>
      </w:r>
      <w:r>
        <w:rPr>
          <w:highlight w:val="none"/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  <w:t xml:space="preserve">Если хотите улучшить ситуацию, то с помощью «Колеса жизни» </w:t>
      </w:r>
      <w:r>
        <w:rPr>
          <w:lang w:val="ru-RU"/>
        </w:rPr>
        <w:t xml:space="preserve">определите, в каких секторах вам следует улучшить ситуацию. Какие действия необходимо для этого предпринять? Когда вы сможете это сделать? Какая поддержка вам для этого нужна?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708"/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</w:r>
      <w:r>
        <w:rPr>
          <w:lang w:val="ru-RU"/>
        </w:rPr>
        <w:t xml:space="preserve">Эмоциональное истощение, раздражительность, отсутствие мотивации и проблемы со здоровьем — всё это спутники профессионального выгорания. </w:t>
      </w:r>
      <w:r>
        <w:rPr>
          <w:lang w:val="ru-RU"/>
        </w:rPr>
        <w:t xml:space="preserve">Всемирная организация здравоохранения </w:t>
      </w:r>
      <w:hyperlink r:id="rId12" w:tooltip="http://who-fic.ru/icd/" w:history="1">
        <w:r>
          <w:rPr>
            <w:lang w:val="ru-RU"/>
          </w:rPr>
          <w:t xml:space="preserve">включила</w:t>
        </w:r>
      </w:hyperlink>
      <w:r>
        <w:rPr>
          <w:lang w:val="ru-RU"/>
        </w:rPr>
        <w:t xml:space="preserve"> выгорание в Международную классификацию болезней.</w:t>
      </w:r>
      <w:r>
        <w:rPr>
          <w:lang w:val="ru-RU"/>
        </w:rPr>
        <w:t xml:space="preserve"> При </w:t>
      </w:r>
      <w:r>
        <w:rPr>
          <w:lang w:val="ru-RU"/>
        </w:rPr>
        <w:t xml:space="preserve">этом синдром определяется не как заболевание, а как фактор, который значительно влияет на здоровье человека.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ind w:left="0" w:firstLine="0"/>
        <w:jc w:val="both"/>
        <w:spacing w:before="0" w:beforeAutospacing="0" w:after="0" w:afterAutospacing="0" w:line="360" w:lineRule="auto"/>
        <w:rPr>
          <w:b/>
          <w:bCs/>
          <w:highlight w:val="none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/>
          <w:bCs/>
          <w:highlight w:val="none"/>
          <w:lang w:val="ru-RU"/>
        </w:rPr>
      </w:r>
      <w:r>
        <w:rPr>
          <w:b/>
          <w:bCs/>
          <w:highlight w:val="none"/>
          <w:lang w:val="ru-RU"/>
        </w:rPr>
      </w:r>
    </w:p>
    <w:p>
      <w:pPr>
        <w:ind w:left="0" w:firstLine="0"/>
        <w:jc w:val="both"/>
        <w:spacing w:before="0" w:beforeAutospacing="0" w:after="0" w:afterAutospacing="0" w:line="360" w:lineRule="auto"/>
        <w:rPr>
          <w:b/>
          <w:bCs/>
          <w:highlight w:val="none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/>
          <w:bCs/>
          <w:highlight w:val="none"/>
          <w:lang w:val="ru-RU"/>
        </w:rPr>
      </w:r>
      <w:r>
        <w:rPr>
          <w:b/>
          <w:bCs/>
          <w:highlight w:val="none"/>
          <w:lang w:val="ru-RU"/>
        </w:rPr>
      </w:r>
    </w:p>
    <w:p>
      <w:pPr>
        <w:ind w:left="0" w:firstLine="0"/>
        <w:jc w:val="both"/>
        <w:spacing w:before="0" w:beforeAutospacing="0" w:after="0" w:afterAutospacing="0" w:line="360" w:lineRule="auto"/>
        <w:rPr>
          <w:b/>
          <w:bCs/>
          <w:highlight w:val="none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/>
          <w:bCs/>
          <w:highlight w:val="none"/>
          <w:lang w:val="ru-RU"/>
        </w:rPr>
      </w:r>
      <w:r>
        <w:rPr>
          <w:b/>
          <w:bCs/>
          <w:highlight w:val="none"/>
          <w:lang w:val="ru-RU"/>
        </w:rPr>
      </w:r>
    </w:p>
    <w:p>
      <w:pPr>
        <w:ind w:left="0" w:firstLine="0"/>
        <w:jc w:val="both"/>
        <w:spacing w:before="0" w:beforeAutospacing="0" w:after="0" w:afterAutospacing="0" w:line="360" w:lineRule="auto"/>
        <w:rPr>
          <w:b/>
          <w:bCs/>
          <w:highlight w:val="none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/>
          <w:bCs/>
          <w:lang w:val="ru-RU"/>
        </w:rPr>
        <w:t xml:space="preserve">Список литературы</w:t>
      </w:r>
      <w:r>
        <w:rPr>
          <w:b/>
          <w:bCs/>
          <w:highlight w:val="none"/>
          <w:lang w:val="ru-RU"/>
          <w14:ligatures w14:val="none"/>
        </w:rPr>
      </w:r>
      <w:r>
        <w:rPr>
          <w:b/>
          <w:bCs/>
          <w:highlight w:val="none"/>
          <w:lang w:val="ru-RU"/>
          <w14:ligatures w14:val="none"/>
        </w:rPr>
      </w:r>
    </w:p>
    <w:p>
      <w:pPr>
        <w:ind w:left="0" w:firstLine="0"/>
        <w:jc w:val="both"/>
        <w:spacing w:before="0" w:beforeAutospacing="0" w:after="0" w:afterAutospacing="0" w:line="360" w:lineRule="auto"/>
        <w:rPr>
          <w:b/>
          <w:bCs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/>
          <w:bCs/>
          <w:highlight w:val="none"/>
          <w:lang w:val="ru-RU"/>
        </w:rPr>
      </w:r>
      <w:r>
        <w:rPr>
          <w:b/>
          <w:bCs/>
          <w:lang w:val="ru-RU"/>
          <w14:ligatures w14:val="none"/>
        </w:rPr>
      </w:r>
      <w:r>
        <w:rPr>
          <w:b/>
          <w:bCs/>
          <w:lang w:val="ru-RU"/>
          <w14:ligatures w14:val="none"/>
        </w:rPr>
      </w:r>
    </w:p>
    <w:p>
      <w:pPr>
        <w:pStyle w:val="766"/>
        <w:numPr>
          <w:ilvl w:val="0"/>
          <w:numId w:val="39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</w:r>
      <w:r>
        <w:rPr>
          <w:lang w:val="ru-RU"/>
        </w:rPr>
        <w:t xml:space="preserve">Акулинина Ю. Н. Профилактика профессионального "выгорания" специалистов социальной сферы / Ю. Н. Акулинина // Социальная педагогика. – 2013. – № 5. – С. 94–102.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9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</w:r>
      <w:r>
        <w:rPr>
          <w:lang w:val="ru-RU"/>
        </w:rPr>
        <w:t xml:space="preserve">Кроль</w:t>
      </w:r>
      <w:r>
        <w:rPr>
          <w:lang w:val="ru-RU"/>
        </w:rPr>
        <w:t xml:space="preserve"> </w:t>
      </w:r>
      <w:r>
        <w:rPr>
          <w:lang w:val="ru-RU"/>
        </w:rPr>
      </w:r>
      <w:hyperlink r:id="rId13" w:tooltip="https://www.litres.ru/author/leonid-krol/" w:history="1">
        <w:r>
          <w:rPr>
            <w:lang w:val="ru-RU"/>
          </w:rPr>
          <w:t xml:space="preserve">Л. М. </w:t>
        </w:r>
      </w:hyperlink>
      <w:r>
        <w:rPr>
          <w:lang w:val="ru-RU"/>
        </w:rPr>
        <w:t xml:space="preserve">Жизнь без выгорания. Как сохранить эмоциональную устойчивость и позаботиться о себе // </w:t>
      </w:r>
      <w:r>
        <w:rPr>
          <w:lang w:val="ru-RU"/>
        </w:rPr>
        <w:t xml:space="preserve">Издльство: Альпина Паблишер</w:t>
      </w:r>
      <w:r>
        <w:rPr>
          <w:lang w:val="ru-RU"/>
        </w:rPr>
        <w:t xml:space="preserve">  -</w:t>
      </w:r>
      <w:r>
        <w:rPr>
          <w:lang w:val="ru-RU"/>
        </w:rPr>
        <w:t xml:space="preserve"> </w:t>
      </w:r>
      <w:r>
        <w:rPr>
          <w:lang w:val="ru-RU"/>
        </w:rPr>
        <w:t xml:space="preserve">2023</w:t>
      </w:r>
      <w:r>
        <w:rPr>
          <w:lang w:val="ru-RU"/>
        </w:rPr>
        <w:t xml:space="preserve">, 224 с.</w:t>
      </w:r>
      <w:r>
        <w:rPr>
          <w:lang w:val="ru-RU"/>
        </w:rPr>
        <w:t xml:space="preserve"> </w:t>
      </w:r>
      <w:r>
        <w:rPr>
          <w:lang w:val="ru-RU"/>
        </w:rPr>
        <w:t xml:space="preserve">- ISBN:</w:t>
      </w:r>
      <w:r>
        <w:rPr>
          <w:lang w:val="ru-RU"/>
        </w:rPr>
        <w:t xml:space="preserve"> </w:t>
      </w:r>
      <w:r>
        <w:rPr>
          <w:lang w:val="ru-RU"/>
        </w:rPr>
        <w:t xml:space="preserve">9785961486056</w:t>
      </w:r>
      <w:r>
        <w:rPr>
          <w:lang w:val="ru-RU"/>
        </w:rPr>
        <w:t xml:space="preserve">, 224 с.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9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  <w:t xml:space="preserve">Хаффингтон </w:t>
      </w:r>
      <w:hyperlink r:id="rId14" w:tooltip="https://eksmo.ru/authors/khaffington-arianna-ITD33501/" w:history="1">
        <w:r>
          <w:rPr>
            <w:lang w:val="ru-RU"/>
          </w:rPr>
          <w:t xml:space="preserve">А..  </w:t>
        </w:r>
      </w:hyperlink>
      <w:r>
        <w:rPr>
          <w:lang w:val="ru-RU"/>
        </w:rPr>
        <w:t xml:space="preserve">Выдохшиеся. Когда кофе, шопинг и отпуск уже не работают / </w:t>
      </w:r>
      <w:r>
        <w:rPr>
          <w:lang w:val="ru-RU"/>
        </w:rPr>
        <w:t xml:space="preserve">Редактор Голубова Е.Л. // Серия: </w:t>
      </w:r>
      <w:hyperlink r:id="rId15" w:tooltip="https://eksmo.ru/series/psikhologiya-iskusstvo-lidera-ITD695/" w:history="1">
        <w:r>
          <w:rPr>
            <w:lang w:val="ru-RU"/>
          </w:rPr>
          <w:t xml:space="preserve">Психология. Искусство лидера</w:t>
        </w:r>
      </w:hyperlink>
      <w:r>
        <w:rPr>
          <w:lang w:val="ru-RU"/>
        </w:rPr>
        <w:t xml:space="preserve"> / </w:t>
      </w:r>
      <w:r>
        <w:rPr>
          <w:lang w:val="ru-RU"/>
        </w:rPr>
        <w:t xml:space="preserve">Издательство: </w:t>
      </w:r>
      <w:r>
        <w:rPr>
          <w:lang w:val="ru-RU"/>
        </w:rPr>
        <w:t xml:space="preserve">БОМБОРА</w:t>
      </w:r>
      <w:r>
        <w:rPr>
          <w:lang w:val="ru-RU"/>
        </w:rPr>
        <w:t xml:space="preserve">. – 320 с. - </w:t>
      </w:r>
      <w:r>
        <w:rPr>
          <w:lang w:val="ru-RU"/>
        </w:rPr>
        <w:t xml:space="preserve">ISBN: </w:t>
      </w:r>
      <w:r>
        <w:rPr>
          <w:lang w:val="ru-RU"/>
        </w:rPr>
        <w:t xml:space="preserve">978-5-04-097792-5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9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</w:r>
      <w:r>
        <w:rPr>
          <w:lang w:val="ru-RU"/>
        </w:rPr>
        <w:t xml:space="preserve">Ширяева В. В. Профилактика эмоционального выгорания педагогов ДОД / В. В. Ширяева // Дополнительное образование и воспитание. – 2011. – N 10. – С. 26–30.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p>
      <w:pPr>
        <w:pStyle w:val="766"/>
        <w:numPr>
          <w:ilvl w:val="0"/>
          <w:numId w:val="39"/>
        </w:numPr>
        <w:jc w:val="both"/>
        <w:spacing w:before="0" w:beforeAutospacing="0" w:after="0" w:afterAutospacing="0" w:line="360" w:lineRule="auto"/>
        <w:rPr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val="ru-RU"/>
        </w:rPr>
      </w:r>
      <w:r>
        <w:rPr>
          <w:lang w:val="ru-RU"/>
        </w:rPr>
        <w:t xml:space="preserve">Янковская Н. Как не сгореть на работе, или Об эмоциональном выгорании педагогов / Н. Янковская // Народное образование. – 2009. – N 8. – С. 273–280.</w:t>
      </w:r>
      <w:r>
        <w:rPr>
          <w:lang w:val="ru-RU"/>
          <w14:ligatures w14:val="none"/>
        </w:rPr>
      </w:r>
      <w:r>
        <w:rPr>
          <w:lang w:val="ru-RU"/>
          <w14:ligatures w14:val="none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ans">
    <w:panose1 w:val="020B060402020202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  <w:jc w:val="center"/>
    </w:pPr>
    <w:fldSimple w:instr="PAGE \* MERGEFORMAT">
      <w:r>
        <w:t xml:space="preserve">1</w:t>
      </w:r>
    </w:fldSimple>
    <w:r/>
    <w:r/>
  </w:p>
  <w:p>
    <w:pPr>
      <w:pStyle w:val="77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510" w:firstLine="0"/>
        <w:tabs>
          <w:tab w:val="num" w:pos="737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09" w:firstLine="0"/>
        <w:tabs>
          <w:tab w:val="num" w:pos="936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39" w:hanging="360"/>
        <w:tabs>
          <w:tab w:val="num" w:pos="1639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59" w:hanging="360"/>
        <w:tabs>
          <w:tab w:val="num" w:pos="2359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79" w:hanging="360"/>
        <w:tabs>
          <w:tab w:val="num" w:pos="3079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99" w:hanging="360"/>
        <w:tabs>
          <w:tab w:val="num" w:pos="3799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19" w:hanging="360"/>
        <w:tabs>
          <w:tab w:val="num" w:pos="4519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39" w:hanging="360"/>
        <w:tabs>
          <w:tab w:val="num" w:pos="5239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59" w:hanging="360"/>
        <w:tabs>
          <w:tab w:val="num" w:pos="5959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79" w:hanging="360"/>
        <w:tabs>
          <w:tab w:val="num" w:pos="6679" w:leader="none"/>
        </w:tabs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Liberation Sans" w:hAnsi="Liberation Sans" w:eastAsia="Liberation Sans" w:cs="Liberation Sans"/>
        <w:color w:val="202124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Liberation Sans" w:hAnsi="Liberation Sans" w:eastAsia="Liberation Sans" w:cs="Liberation Sans"/>
        <w:color w:val="202124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"/>
  </w:num>
  <w:num w:numId="3">
    <w:abstractNumId w:val="17"/>
  </w:num>
  <w:num w:numId="4">
    <w:abstractNumId w:val="14"/>
  </w:num>
  <w:num w:numId="5">
    <w:abstractNumId w:val="13"/>
  </w:num>
  <w:num w:numId="6">
    <w:abstractNumId w:val="9"/>
  </w:num>
  <w:num w:numId="7">
    <w:abstractNumId w:val="12"/>
  </w:num>
  <w:num w:numId="8">
    <w:abstractNumId w:val="24"/>
  </w:num>
  <w:num w:numId="9">
    <w:abstractNumId w:val="21"/>
  </w:num>
  <w:num w:numId="10">
    <w:abstractNumId w:val="16"/>
  </w:num>
  <w:num w:numId="11">
    <w:abstractNumId w:val="6"/>
  </w:num>
  <w:num w:numId="12">
    <w:abstractNumId w:val="3"/>
  </w:num>
  <w:num w:numId="13">
    <w:abstractNumId w:val="11"/>
  </w:num>
  <w:num w:numId="14">
    <w:abstractNumId w:val="2"/>
  </w:num>
  <w:num w:numId="15">
    <w:abstractNumId w:val="1"/>
  </w:num>
  <w:num w:numId="16">
    <w:abstractNumId w:val="20"/>
  </w:num>
  <w:num w:numId="17">
    <w:abstractNumId w:val="19"/>
  </w:num>
  <w:num w:numId="18">
    <w:abstractNumId w:val="5"/>
  </w:num>
  <w:num w:numId="19">
    <w:abstractNumId w:val="0"/>
  </w:num>
  <w:num w:numId="20">
    <w:abstractNumId w:val="23"/>
  </w:num>
  <w:num w:numId="21">
    <w:abstractNumId w:val="7"/>
  </w:num>
  <w:num w:numId="22">
    <w:abstractNumId w:val="18"/>
  </w:num>
  <w:num w:numId="23">
    <w:abstractNumId w:val="15"/>
  </w:num>
  <w:num w:numId="24">
    <w:abstractNumId w:val="8"/>
  </w:num>
  <w:num w:numId="25">
    <w:abstractNumId w:val="10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8">
    <w:name w:val="Heading 1"/>
    <w:basedOn w:val="926"/>
    <w:next w:val="926"/>
    <w:link w:val="74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49">
    <w:name w:val="Heading 1 Char"/>
    <w:link w:val="748"/>
    <w:uiPriority w:val="9"/>
    <w:rPr>
      <w:rFonts w:ascii="Arial" w:hAnsi="Arial" w:eastAsia="Arial" w:cs="Arial"/>
      <w:sz w:val="40"/>
      <w:szCs w:val="40"/>
    </w:rPr>
  </w:style>
  <w:style w:type="paragraph" w:styleId="750">
    <w:name w:val="Heading 2"/>
    <w:basedOn w:val="926"/>
    <w:next w:val="926"/>
    <w:link w:val="75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51">
    <w:name w:val="Heading 2 Char"/>
    <w:link w:val="750"/>
    <w:uiPriority w:val="9"/>
    <w:rPr>
      <w:rFonts w:ascii="Arial" w:hAnsi="Arial" w:eastAsia="Arial" w:cs="Arial"/>
      <w:sz w:val="34"/>
    </w:rPr>
  </w:style>
  <w:style w:type="paragraph" w:styleId="752">
    <w:name w:val="Heading 3"/>
    <w:basedOn w:val="926"/>
    <w:next w:val="926"/>
    <w:link w:val="75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3">
    <w:name w:val="Heading 3 Char"/>
    <w:link w:val="752"/>
    <w:uiPriority w:val="9"/>
    <w:rPr>
      <w:rFonts w:ascii="Arial" w:hAnsi="Arial" w:eastAsia="Arial" w:cs="Arial"/>
      <w:sz w:val="30"/>
      <w:szCs w:val="30"/>
    </w:rPr>
  </w:style>
  <w:style w:type="paragraph" w:styleId="754">
    <w:name w:val="Heading 4"/>
    <w:basedOn w:val="926"/>
    <w:next w:val="926"/>
    <w:link w:val="75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5">
    <w:name w:val="Heading 4 Char"/>
    <w:link w:val="754"/>
    <w:uiPriority w:val="9"/>
    <w:rPr>
      <w:rFonts w:ascii="Arial" w:hAnsi="Arial" w:eastAsia="Arial" w:cs="Arial"/>
      <w:b/>
      <w:bCs/>
      <w:sz w:val="26"/>
      <w:szCs w:val="26"/>
    </w:rPr>
  </w:style>
  <w:style w:type="paragraph" w:styleId="756">
    <w:name w:val="Heading 5"/>
    <w:basedOn w:val="926"/>
    <w:next w:val="926"/>
    <w:link w:val="75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7">
    <w:name w:val="Heading 5 Char"/>
    <w:link w:val="756"/>
    <w:uiPriority w:val="9"/>
    <w:rPr>
      <w:rFonts w:ascii="Arial" w:hAnsi="Arial" w:eastAsia="Arial" w:cs="Arial"/>
      <w:b/>
      <w:bCs/>
      <w:sz w:val="24"/>
      <w:szCs w:val="24"/>
    </w:rPr>
  </w:style>
  <w:style w:type="paragraph" w:styleId="758">
    <w:name w:val="Heading 6"/>
    <w:basedOn w:val="926"/>
    <w:next w:val="926"/>
    <w:link w:val="75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9">
    <w:name w:val="Heading 6 Char"/>
    <w:link w:val="758"/>
    <w:uiPriority w:val="9"/>
    <w:rPr>
      <w:rFonts w:ascii="Arial" w:hAnsi="Arial" w:eastAsia="Arial" w:cs="Arial"/>
      <w:b/>
      <w:bCs/>
      <w:sz w:val="22"/>
      <w:szCs w:val="22"/>
    </w:rPr>
  </w:style>
  <w:style w:type="paragraph" w:styleId="760">
    <w:name w:val="Heading 7"/>
    <w:basedOn w:val="926"/>
    <w:next w:val="926"/>
    <w:link w:val="76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1">
    <w:name w:val="Heading 7 Char"/>
    <w:link w:val="76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2">
    <w:name w:val="Heading 8"/>
    <w:basedOn w:val="926"/>
    <w:next w:val="926"/>
    <w:link w:val="76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3">
    <w:name w:val="Heading 8 Char"/>
    <w:link w:val="762"/>
    <w:uiPriority w:val="9"/>
    <w:rPr>
      <w:rFonts w:ascii="Arial" w:hAnsi="Arial" w:eastAsia="Arial" w:cs="Arial"/>
      <w:i/>
      <w:iCs/>
      <w:sz w:val="22"/>
      <w:szCs w:val="22"/>
    </w:rPr>
  </w:style>
  <w:style w:type="paragraph" w:styleId="764">
    <w:name w:val="Heading 9"/>
    <w:basedOn w:val="926"/>
    <w:next w:val="926"/>
    <w:link w:val="76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5">
    <w:name w:val="Heading 9 Char"/>
    <w:link w:val="764"/>
    <w:uiPriority w:val="9"/>
    <w:rPr>
      <w:rFonts w:ascii="Arial" w:hAnsi="Arial" w:eastAsia="Arial" w:cs="Arial"/>
      <w:i/>
      <w:iCs/>
      <w:sz w:val="21"/>
      <w:szCs w:val="21"/>
    </w:rPr>
  </w:style>
  <w:style w:type="paragraph" w:styleId="766">
    <w:name w:val="List Paragraph"/>
    <w:basedOn w:val="926"/>
    <w:uiPriority w:val="34"/>
    <w:qFormat/>
    <w:pPr>
      <w:contextualSpacing/>
      <w:ind w:left="720"/>
    </w:pPr>
  </w:style>
  <w:style w:type="paragraph" w:styleId="767">
    <w:name w:val="No Spacing"/>
    <w:uiPriority w:val="1"/>
    <w:qFormat/>
    <w:pPr>
      <w:spacing w:before="0" w:after="0" w:line="240" w:lineRule="auto"/>
    </w:pPr>
  </w:style>
  <w:style w:type="paragraph" w:styleId="768">
    <w:name w:val="Title"/>
    <w:basedOn w:val="926"/>
    <w:next w:val="926"/>
    <w:link w:val="76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9">
    <w:name w:val="Title Char"/>
    <w:link w:val="768"/>
    <w:uiPriority w:val="10"/>
    <w:rPr>
      <w:sz w:val="48"/>
      <w:szCs w:val="48"/>
    </w:rPr>
  </w:style>
  <w:style w:type="paragraph" w:styleId="770">
    <w:name w:val="Subtitle"/>
    <w:basedOn w:val="926"/>
    <w:next w:val="926"/>
    <w:link w:val="771"/>
    <w:uiPriority w:val="11"/>
    <w:qFormat/>
    <w:pPr>
      <w:spacing w:before="200" w:after="200"/>
    </w:pPr>
    <w:rPr>
      <w:sz w:val="24"/>
      <w:szCs w:val="24"/>
    </w:rPr>
  </w:style>
  <w:style w:type="character" w:styleId="771">
    <w:name w:val="Subtitle Char"/>
    <w:link w:val="770"/>
    <w:uiPriority w:val="11"/>
    <w:rPr>
      <w:sz w:val="24"/>
      <w:szCs w:val="24"/>
    </w:rPr>
  </w:style>
  <w:style w:type="paragraph" w:styleId="772">
    <w:name w:val="Quote"/>
    <w:basedOn w:val="926"/>
    <w:next w:val="926"/>
    <w:link w:val="773"/>
    <w:uiPriority w:val="29"/>
    <w:qFormat/>
    <w:pPr>
      <w:ind w:left="720" w:right="720"/>
    </w:pPr>
    <w:rPr>
      <w:i/>
    </w:rPr>
  </w:style>
  <w:style w:type="character" w:styleId="773">
    <w:name w:val="Quote Char"/>
    <w:link w:val="772"/>
    <w:uiPriority w:val="29"/>
    <w:rPr>
      <w:i/>
    </w:rPr>
  </w:style>
  <w:style w:type="paragraph" w:styleId="774">
    <w:name w:val="Intense Quote"/>
    <w:basedOn w:val="926"/>
    <w:next w:val="926"/>
    <w:link w:val="77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5">
    <w:name w:val="Intense Quote Char"/>
    <w:link w:val="774"/>
    <w:uiPriority w:val="30"/>
    <w:rPr>
      <w:i/>
    </w:rPr>
  </w:style>
  <w:style w:type="paragraph" w:styleId="776">
    <w:name w:val="Header"/>
    <w:basedOn w:val="926"/>
    <w:link w:val="77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7">
    <w:name w:val="Header Char"/>
    <w:link w:val="776"/>
    <w:uiPriority w:val="99"/>
  </w:style>
  <w:style w:type="paragraph" w:styleId="778">
    <w:name w:val="Footer"/>
    <w:basedOn w:val="926"/>
    <w:link w:val="7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9">
    <w:name w:val="Footer Char"/>
    <w:link w:val="778"/>
    <w:uiPriority w:val="99"/>
  </w:style>
  <w:style w:type="paragraph" w:styleId="780">
    <w:name w:val="Caption"/>
    <w:basedOn w:val="926"/>
    <w:next w:val="92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1">
    <w:name w:val="Caption Char"/>
    <w:basedOn w:val="780"/>
    <w:link w:val="778"/>
    <w:uiPriority w:val="99"/>
  </w:style>
  <w:style w:type="table" w:styleId="78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08">
    <w:name w:val="Hyperlink"/>
    <w:uiPriority w:val="99"/>
    <w:unhideWhenUsed/>
    <w:rPr>
      <w:color w:val="0000ff" w:themeColor="hyperlink"/>
      <w:u w:val="single"/>
    </w:rPr>
  </w:style>
  <w:style w:type="paragraph" w:styleId="909">
    <w:name w:val="footnote text"/>
    <w:basedOn w:val="926"/>
    <w:link w:val="910"/>
    <w:uiPriority w:val="99"/>
    <w:semiHidden/>
    <w:unhideWhenUsed/>
    <w:pPr>
      <w:spacing w:after="40" w:line="240" w:lineRule="auto"/>
    </w:pPr>
    <w:rPr>
      <w:sz w:val="18"/>
    </w:rPr>
  </w:style>
  <w:style w:type="character" w:styleId="910">
    <w:name w:val="Footnote Text Char"/>
    <w:link w:val="909"/>
    <w:uiPriority w:val="99"/>
    <w:rPr>
      <w:sz w:val="18"/>
    </w:rPr>
  </w:style>
  <w:style w:type="character" w:styleId="911">
    <w:name w:val="footnote reference"/>
    <w:uiPriority w:val="99"/>
    <w:unhideWhenUsed/>
    <w:rPr>
      <w:vertAlign w:val="superscript"/>
    </w:rPr>
  </w:style>
  <w:style w:type="paragraph" w:styleId="912">
    <w:name w:val="endnote text"/>
    <w:basedOn w:val="926"/>
    <w:link w:val="913"/>
    <w:uiPriority w:val="99"/>
    <w:semiHidden/>
    <w:unhideWhenUsed/>
    <w:pPr>
      <w:spacing w:after="0" w:line="240" w:lineRule="auto"/>
    </w:pPr>
    <w:rPr>
      <w:sz w:val="20"/>
    </w:rPr>
  </w:style>
  <w:style w:type="character" w:styleId="913">
    <w:name w:val="Endnote Text Char"/>
    <w:link w:val="912"/>
    <w:uiPriority w:val="99"/>
    <w:rPr>
      <w:sz w:val="20"/>
    </w:rPr>
  </w:style>
  <w:style w:type="character" w:styleId="914">
    <w:name w:val="endnote reference"/>
    <w:uiPriority w:val="99"/>
    <w:semiHidden/>
    <w:unhideWhenUsed/>
    <w:rPr>
      <w:vertAlign w:val="superscript"/>
    </w:rPr>
  </w:style>
  <w:style w:type="paragraph" w:styleId="915">
    <w:name w:val="toc 1"/>
    <w:basedOn w:val="926"/>
    <w:next w:val="926"/>
    <w:uiPriority w:val="39"/>
    <w:unhideWhenUsed/>
    <w:pPr>
      <w:ind w:left="0" w:right="0" w:firstLine="0"/>
      <w:spacing w:after="57"/>
    </w:pPr>
  </w:style>
  <w:style w:type="paragraph" w:styleId="916">
    <w:name w:val="toc 2"/>
    <w:basedOn w:val="926"/>
    <w:next w:val="926"/>
    <w:uiPriority w:val="39"/>
    <w:unhideWhenUsed/>
    <w:pPr>
      <w:ind w:left="283" w:right="0" w:firstLine="0"/>
      <w:spacing w:after="57"/>
    </w:pPr>
  </w:style>
  <w:style w:type="paragraph" w:styleId="917">
    <w:name w:val="toc 3"/>
    <w:basedOn w:val="926"/>
    <w:next w:val="926"/>
    <w:uiPriority w:val="39"/>
    <w:unhideWhenUsed/>
    <w:pPr>
      <w:ind w:left="567" w:right="0" w:firstLine="0"/>
      <w:spacing w:after="57"/>
    </w:pPr>
  </w:style>
  <w:style w:type="paragraph" w:styleId="918">
    <w:name w:val="toc 4"/>
    <w:basedOn w:val="926"/>
    <w:next w:val="926"/>
    <w:uiPriority w:val="39"/>
    <w:unhideWhenUsed/>
    <w:pPr>
      <w:ind w:left="850" w:right="0" w:firstLine="0"/>
      <w:spacing w:after="57"/>
    </w:pPr>
  </w:style>
  <w:style w:type="paragraph" w:styleId="919">
    <w:name w:val="toc 5"/>
    <w:basedOn w:val="926"/>
    <w:next w:val="926"/>
    <w:uiPriority w:val="39"/>
    <w:unhideWhenUsed/>
    <w:pPr>
      <w:ind w:left="1134" w:right="0" w:firstLine="0"/>
      <w:spacing w:after="57"/>
    </w:pPr>
  </w:style>
  <w:style w:type="paragraph" w:styleId="920">
    <w:name w:val="toc 6"/>
    <w:basedOn w:val="926"/>
    <w:next w:val="926"/>
    <w:uiPriority w:val="39"/>
    <w:unhideWhenUsed/>
    <w:pPr>
      <w:ind w:left="1417" w:right="0" w:firstLine="0"/>
      <w:spacing w:after="57"/>
    </w:pPr>
  </w:style>
  <w:style w:type="paragraph" w:styleId="921">
    <w:name w:val="toc 7"/>
    <w:basedOn w:val="926"/>
    <w:next w:val="926"/>
    <w:uiPriority w:val="39"/>
    <w:unhideWhenUsed/>
    <w:pPr>
      <w:ind w:left="1701" w:right="0" w:firstLine="0"/>
      <w:spacing w:after="57"/>
    </w:pPr>
  </w:style>
  <w:style w:type="paragraph" w:styleId="922">
    <w:name w:val="toc 8"/>
    <w:basedOn w:val="926"/>
    <w:next w:val="926"/>
    <w:uiPriority w:val="39"/>
    <w:unhideWhenUsed/>
    <w:pPr>
      <w:ind w:left="1984" w:right="0" w:firstLine="0"/>
      <w:spacing w:after="57"/>
    </w:pPr>
  </w:style>
  <w:style w:type="paragraph" w:styleId="923">
    <w:name w:val="toc 9"/>
    <w:basedOn w:val="926"/>
    <w:next w:val="926"/>
    <w:uiPriority w:val="39"/>
    <w:unhideWhenUsed/>
    <w:pPr>
      <w:ind w:left="2268" w:right="0" w:firstLine="0"/>
      <w:spacing w:after="57"/>
    </w:pPr>
  </w:style>
  <w:style w:type="paragraph" w:styleId="924">
    <w:name w:val="TOC Heading"/>
    <w:uiPriority w:val="39"/>
    <w:unhideWhenUsed/>
  </w:style>
  <w:style w:type="paragraph" w:styleId="925">
    <w:name w:val="table of figures"/>
    <w:basedOn w:val="926"/>
    <w:next w:val="926"/>
    <w:uiPriority w:val="99"/>
    <w:unhideWhenUsed/>
    <w:pPr>
      <w:spacing w:after="0" w:afterAutospacing="0"/>
    </w:pPr>
  </w:style>
  <w:style w:type="paragraph" w:styleId="926" w:default="1">
    <w:name w:val="Normal"/>
    <w:next w:val="926"/>
    <w:link w:val="926"/>
    <w:rPr>
      <w:sz w:val="24"/>
      <w:szCs w:val="24"/>
      <w:lang w:val="ru-RU" w:eastAsia="ru-RU" w:bidi="ar-SA"/>
    </w:rPr>
  </w:style>
  <w:style w:type="character" w:styleId="927">
    <w:name w:val="Основной шрифт абзаца"/>
    <w:next w:val="927"/>
    <w:link w:val="926"/>
    <w:semiHidden/>
  </w:style>
  <w:style w:type="table" w:styleId="928">
    <w:name w:val="Обычная таблица"/>
    <w:next w:val="928"/>
    <w:link w:val="926"/>
    <w:semiHidden/>
    <w:tblPr/>
  </w:style>
  <w:style w:type="numbering" w:styleId="929">
    <w:name w:val="Нет списка"/>
    <w:next w:val="929"/>
    <w:link w:val="926"/>
    <w:semiHidden/>
  </w:style>
  <w:style w:type="paragraph" w:styleId="930">
    <w:name w:val="Обычный (веб)"/>
    <w:basedOn w:val="926"/>
    <w:next w:val="930"/>
    <w:link w:val="926"/>
    <w:pPr>
      <w:spacing w:before="100" w:beforeAutospacing="1" w:after="100" w:afterAutospacing="1"/>
    </w:pPr>
  </w:style>
  <w:style w:type="character" w:styleId="931" w:default="1">
    <w:name w:val="Default Paragraph Font"/>
    <w:uiPriority w:val="1"/>
    <w:semiHidden/>
    <w:unhideWhenUsed/>
  </w:style>
  <w:style w:type="numbering" w:styleId="932" w:default="1">
    <w:name w:val="No List"/>
    <w:uiPriority w:val="99"/>
    <w:semiHidden/>
    <w:unhideWhenUsed/>
  </w:style>
  <w:style w:type="table" w:styleId="933" w:default="1">
    <w:name w:val="Normal Table"/>
    <w:uiPriority w:val="99"/>
    <w:semiHidden/>
    <w:unhideWhenUsed/>
    <w:tblPr/>
  </w:style>
  <w:style w:type="character" w:styleId="934" w:customStyle="1">
    <w:name w:val="Font Style23"/>
    <w:uiPriority w:val="9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hyperlink" Target="https://vygoranie.com/test-na-emocionalnoe-vygoranie/?_gl=1*dgmkp0*_ga*MzY3NjY4NzM3LjE3MDY1Mjg2ODU.*_ga_CHHKRY1W4Q*MTcwNzI5OTU3NC4zLjEuMTcwNzI5OTcxMy4wLjAuMA.." TargetMode="External"/><Relationship Id="rId11" Type="http://schemas.openxmlformats.org/officeDocument/2006/relationships/image" Target="media/image1.png"/><Relationship Id="rId12" Type="http://schemas.openxmlformats.org/officeDocument/2006/relationships/hyperlink" Target="http://who-fic.ru/icd/" TargetMode="External"/><Relationship Id="rId13" Type="http://schemas.openxmlformats.org/officeDocument/2006/relationships/hyperlink" Target="https://www.litres.ru/author/leonid-krol/" TargetMode="External"/><Relationship Id="rId14" Type="http://schemas.openxmlformats.org/officeDocument/2006/relationships/hyperlink" Target="https://eksmo.ru/authors/khaffington-arianna-ITD33501/" TargetMode="External"/><Relationship Id="rId15" Type="http://schemas.openxmlformats.org/officeDocument/2006/relationships/hyperlink" Target="https://eksmo.ru/series/psikhologiya-iskusstvo-lidera-ITD695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Причины  напряженности педагога </dc:title>
  <dc:creator>51s</dc:creator>
  <cp:revision>15</cp:revision>
  <dcterms:created xsi:type="dcterms:W3CDTF">2011-11-03T19:10:00Z</dcterms:created>
  <dcterms:modified xsi:type="dcterms:W3CDTF">2024-02-07T14:20:22Z</dcterms:modified>
  <cp:version>726502</cp:version>
</cp:coreProperties>
</file>