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Анисимова Наталья Петровна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литературы, высшая категория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359 Фрунзенского района Санкт – Петербурга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360" w:lineRule="auto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 xml:space="preserve">Как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на первом этапе процесса индивидуализации профессионального развития педагогических работников</w:t>
      </w:r>
      <w:r>
        <w:rPr>
          <w:rFonts w:ascii="Times New Roman" w:hAnsi="Times New Roman" w:cs="Calibri"/>
          <w:b/>
          <w:sz w:val="28"/>
          <w:szCs w:val="28"/>
        </w:rPr>
        <w:t xml:space="preserve"> провести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Calibri"/>
          <w:b/>
          <w:sz w:val="28"/>
          <w:szCs w:val="28"/>
        </w:rPr>
        <w:t xml:space="preserve">самоанализ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Calibri"/>
          <w:b/>
          <w:sz w:val="28"/>
          <w:szCs w:val="28"/>
        </w:rPr>
        <w:t xml:space="preserve"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Calibri"/>
          <w:b/>
          <w:sz w:val="28"/>
          <w:szCs w:val="28"/>
        </w:rPr>
        <w:t xml:space="preserve">самооценку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Calibri"/>
          <w:b/>
          <w:sz w:val="28"/>
          <w:szCs w:val="28"/>
        </w:rPr>
        <w:t xml:space="preserve">профессиональной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Calibri"/>
          <w:b/>
          <w:sz w:val="28"/>
          <w:szCs w:val="28"/>
        </w:rPr>
        <w:t xml:space="preserve">деятельности</w:t>
      </w:r>
      <w:r>
        <w:rPr>
          <w:rFonts w:ascii="Times New Roman" w:hAnsi="Times New Roman" w:cs="Calibri"/>
          <w:b/>
          <w:sz w:val="28"/>
          <w:szCs w:val="28"/>
        </w:rPr>
      </w:r>
    </w:p>
    <w:p>
      <w:pPr>
        <w:ind w:left="680" w:right="0" w:firstLine="29"/>
        <w:jc w:val="both"/>
        <w:spacing w:before="240" w:after="240" w:line="360" w:lineRule="auto"/>
        <w:rPr>
          <w:rFonts w:ascii="Times New Roman" w:hAnsi="Times New Roman" w:cs="Calibri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</w:t>
      </w:r>
      <w:r>
        <w:rPr>
          <w:rFonts w:ascii="Times New Roman" w:hAnsi="Times New Roman" w:cs="Times New Roman"/>
          <w:i/>
          <w:sz w:val="24"/>
          <w:szCs w:val="24"/>
        </w:rPr>
        <w:t xml:space="preserve">редставленный </w:t>
      </w:r>
      <w:r>
        <w:rPr>
          <w:rFonts w:ascii="Times New Roman" w:hAnsi="Times New Roman" w:cs="Times New Roman"/>
          <w:i/>
          <w:sz w:val="24"/>
          <w:szCs w:val="24"/>
        </w:rPr>
        <w:t xml:space="preserve">в статье </w:t>
      </w:r>
      <w:r>
        <w:rPr>
          <w:rFonts w:ascii="Times New Roman" w:hAnsi="Times New Roman" w:cs="Times New Roman"/>
          <w:i/>
          <w:sz w:val="24"/>
          <w:szCs w:val="24"/>
        </w:rPr>
        <w:t xml:space="preserve">инструментарий (оценочный лист и анкета педагога)</w:t>
      </w:r>
      <w:r>
        <w:rPr>
          <w:rFonts w:ascii="Times New Roman" w:hAnsi="Times New Roman" w:cs="Calibri"/>
          <w:i/>
          <w:sz w:val="24"/>
          <w:szCs w:val="24"/>
        </w:rPr>
        <w:t xml:space="preserve"> может быть использован методическими службами образователь</w:t>
      </w:r>
      <w:r>
        <w:rPr>
          <w:rFonts w:ascii="Times New Roman" w:hAnsi="Times New Roman" w:cs="Calibri"/>
          <w:i/>
          <w:sz w:val="24"/>
          <w:szCs w:val="24"/>
        </w:rPr>
        <w:t xml:space="preserve">ных учреждений для проведения диагностики профессиональных затруднений учителей.  Итогом диагностики должен стать анализ профессиональных дефицитов и определение путей их преодоления с использованием ресурсов системы методического сопровождения педагогов. </w:t>
      </w:r>
      <w:r>
        <w:rPr>
          <w:rFonts w:ascii="Times New Roman" w:hAnsi="Times New Roman" w:cs="Calibri"/>
          <w:i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 w:cs="Calibri"/>
          <w:sz w:val="24"/>
          <w:szCs w:val="24"/>
        </w:rPr>
        <w:t xml:space="preserve">Системные изменения в образовании связаны с обновлением целевых ориентиров, внедрением в практику профессионального стандарта как</w:t>
      </w:r>
      <w:r>
        <w:rPr>
          <w:rFonts w:ascii="Times New Roman" w:hAnsi="Times New Roman" w:cs="Calibri"/>
          <w:sz w:val="24"/>
          <w:szCs w:val="24"/>
        </w:rPr>
        <w:t xml:space="preserve"> инструмента развития педагогов, направлены на выявление и устранение профессиональных дефицитов, построение индивидуальных образовательных маршрутов для обеспечения формирования системы непрерывного профессионального развития педагогических работников. В </w:t>
      </w:r>
      <w:r>
        <w:rPr>
          <w:rFonts w:ascii="Times New Roman" w:hAnsi="Times New Roman" w:cs="Calibri"/>
          <w:sz w:val="24"/>
          <w:szCs w:val="24"/>
        </w:rPr>
        <w:t xml:space="preserve">условиях реализации указов Президента Российской Федерации от 7 мая 2018 года № 204 «О национальных целях развития</w:t>
      </w:r>
      <w:r>
        <w:rPr>
          <w:rFonts w:ascii="Times New Roman" w:hAnsi="Times New Roman" w:cs="Calibri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и стратегических задачах развития Российской Федерации на период до 2024 года» и № 474 от 21 июля 2020 г.</w:t>
      </w:r>
      <w:r>
        <w:rPr>
          <w:rFonts w:ascii="Times New Roman" w:hAnsi="Times New Roman"/>
          <w:color w:val="ff0000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«О национальных целях развития Российской Федерации на период до 2030 года»</w:t>
      </w:r>
      <w:r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должен использоваться </w:t>
      </w:r>
      <w:r>
        <w:rPr>
          <w:rFonts w:ascii="Times New Roman" w:hAnsi="Times New Roman"/>
          <w:sz w:val="24"/>
          <w:szCs w:val="28"/>
        </w:rPr>
        <w:t xml:space="preserve">инструментарий оценки профессиональных компетенций педагогических работников</w:t>
      </w:r>
      <w:r>
        <w:rPr>
          <w:rFonts w:ascii="Times New Roman" w:hAnsi="Times New Roman"/>
          <w:sz w:val="24"/>
          <w:szCs w:val="28"/>
        </w:rPr>
        <w:t xml:space="preserve">, подчеркивающий знач</w:t>
      </w:r>
      <w:r>
        <w:rPr>
          <w:rFonts w:ascii="Times New Roman" w:hAnsi="Times New Roman"/>
          <w:sz w:val="24"/>
          <w:szCs w:val="28"/>
        </w:rPr>
        <w:t xml:space="preserve">имость профессиональной деятельности педагогов и способствующий достижению приоритетных национальных задач. Внедрение основных принципов национальной системы профессионального роста педагогических работников, включая национальную систему учительского роста</w:t>
      </w:r>
      <w:r>
        <w:rPr>
          <w:rStyle w:val="760"/>
          <w:rFonts w:ascii="Times New Roman" w:hAnsi="Times New Roman"/>
          <w:sz w:val="24"/>
          <w:szCs w:val="28"/>
        </w:rPr>
        <w:footnoteReference w:id="2"/>
      </w:r>
      <w:r>
        <w:rPr>
          <w:rFonts w:ascii="Times New Roman" w:hAnsi="Times New Roman"/>
          <w:sz w:val="24"/>
          <w:szCs w:val="28"/>
        </w:rPr>
        <w:t xml:space="preserve">, требует переосмысления роли </w:t>
      </w:r>
      <w:r>
        <w:rPr>
          <w:rFonts w:ascii="Times New Roman" w:hAnsi="Times New Roman"/>
          <w:sz w:val="24"/>
          <w:szCs w:val="28"/>
        </w:rPr>
        <w:t xml:space="preserve">методической службы</w:t>
      </w:r>
      <w:r>
        <w:rPr>
          <w:rFonts w:ascii="Times New Roman" w:hAnsi="Times New Roman"/>
          <w:sz w:val="24"/>
          <w:szCs w:val="28"/>
        </w:rPr>
        <w:t xml:space="preserve"> образовательного учреждения. Именно методическая служба должна организовывать мероприятия,</w:t>
      </w:r>
      <w:r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направленные на оказание помощи педагогу в решении возникающих трудностей, способствующих его развитию и </w:t>
      </w:r>
      <w:r>
        <w:rPr>
          <w:rFonts w:ascii="Times New Roman" w:hAnsi="Times New Roman"/>
          <w:sz w:val="24"/>
          <w:szCs w:val="28"/>
        </w:rPr>
        <w:t xml:space="preserve">самоопределению. </w:t>
      </w:r>
      <w:r>
        <w:rPr>
          <w:rFonts w:ascii="Times New Roman" w:hAnsi="Times New Roman"/>
          <w:sz w:val="24"/>
          <w:szCs w:val="28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Приоритетным направлением методической работы в условиях формирования системы непрерывного профессионального развития педагогических работников является </w:t>
      </w:r>
      <w:r>
        <w:rPr>
          <w:rFonts w:ascii="Times New Roman" w:hAnsi="Times New Roman"/>
          <w:sz w:val="24"/>
          <w:szCs w:val="28"/>
        </w:rPr>
        <w:t xml:space="preserve">процесс индивидуализации профессионального развития педагогических работников</w:t>
      </w:r>
      <w:r>
        <w:rPr>
          <w:rFonts w:ascii="Times New Roman" w:hAnsi="Times New Roman"/>
          <w:sz w:val="24"/>
          <w:szCs w:val="28"/>
        </w:rPr>
        <w:t xml:space="preserve">, нацеленный на повышение уровня педагогической компетентности, сн</w:t>
      </w:r>
      <w:r>
        <w:rPr>
          <w:rFonts w:ascii="Times New Roman" w:hAnsi="Times New Roman"/>
          <w:sz w:val="24"/>
          <w:szCs w:val="28"/>
        </w:rPr>
        <w:t xml:space="preserve">ижение количества актуальных профессиональных дефицитов, предоставление каждому педагогу (на основе учёта результатов адресной диагностики) прав на собственное содержание профессионального образования, совершенствование качества образовательного процесса. </w:t>
      </w:r>
      <w:r>
        <w:rPr>
          <w:rFonts w:ascii="Times New Roman" w:hAnsi="Times New Roman"/>
          <w:sz w:val="24"/>
          <w:szCs w:val="28"/>
        </w:rPr>
      </w:r>
    </w:p>
    <w:p>
      <w:pPr>
        <w:pStyle w:val="761"/>
        <w:ind w:left="0" w:firstLine="709"/>
        <w:jc w:val="both"/>
        <w:spacing w:after="0"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Ключевыми</w:t>
      </w:r>
      <w:r>
        <w:rPr>
          <w:rFonts w:ascii="Times New Roman" w:hAnsi="Times New Roman"/>
          <w:sz w:val="24"/>
          <w:szCs w:val="28"/>
        </w:rPr>
        <w:t xml:space="preserve"> для </w:t>
      </w:r>
      <w:r>
        <w:rPr>
          <w:rFonts w:ascii="Times New Roman" w:hAnsi="Times New Roman"/>
          <w:sz w:val="24"/>
          <w:szCs w:val="28"/>
        </w:rPr>
        <w:t xml:space="preserve">определения проблем и осознанного выбора педагогами </w:t>
      </w:r>
      <w:r>
        <w:rPr>
          <w:rFonts w:ascii="Times New Roman" w:hAnsi="Times New Roman"/>
          <w:sz w:val="24"/>
          <w:szCs w:val="28"/>
        </w:rPr>
        <w:t xml:space="preserve">индивидуальной образовательной траектории профессионального развития является процесс осуществления самоанализа и самооценки профессиональных</w:t>
      </w:r>
      <w:r>
        <w:rPr>
          <w:rFonts w:ascii="Times New Roman" w:hAnsi="Times New Roman"/>
          <w:sz w:val="24"/>
          <w:szCs w:val="28"/>
        </w:rPr>
        <w:t xml:space="preserve"> компетенций в контексте профессионального стандарта</w:t>
      </w:r>
      <w:r>
        <w:rPr>
          <w:rStyle w:val="760"/>
          <w:rFonts w:ascii="Times New Roman" w:hAnsi="Times New Roman"/>
          <w:sz w:val="24"/>
          <w:szCs w:val="28"/>
        </w:rPr>
        <w:footnoteReference w:id="3"/>
      </w:r>
      <w:r>
        <w:rPr>
          <w:rFonts w:ascii="Times New Roman" w:hAnsi="Times New Roman"/>
          <w:sz w:val="24"/>
          <w:szCs w:val="28"/>
        </w:rPr>
        <w:t xml:space="preserve">, требований Федеральных государственных образовательных стандартов (далее ФГОС) общего образования, а также результаты </w:t>
      </w:r>
      <w:r>
        <w:rPr>
          <w:rFonts w:ascii="Times New Roman" w:hAnsi="Times New Roman"/>
          <w:sz w:val="24"/>
          <w:szCs w:val="28"/>
        </w:rPr>
        <w:t xml:space="preserve">внешней оценки</w:t>
      </w:r>
      <w:r>
        <w:rPr>
          <w:rFonts w:ascii="Times New Roman" w:hAnsi="Times New Roman"/>
          <w:sz w:val="24"/>
          <w:szCs w:val="28"/>
        </w:rPr>
        <w:t xml:space="preserve">, направленной на выявление достижений </w:t>
      </w:r>
      <w:r>
        <w:rPr>
          <w:rFonts w:ascii="Times New Roman" w:hAnsi="Times New Roman"/>
          <w:sz w:val="24"/>
          <w:szCs w:val="28"/>
        </w:rPr>
        <w:t xml:space="preserve">компетентностных</w:t>
      </w:r>
      <w:r>
        <w:rPr>
          <w:rFonts w:ascii="Times New Roman" w:hAnsi="Times New Roman"/>
          <w:sz w:val="24"/>
          <w:szCs w:val="28"/>
        </w:rPr>
        <w:t xml:space="preserve"> дефицитов, связанных с осуществлением профессиональной деятельности. </w:t>
      </w:r>
      <w:r>
        <w:rPr>
          <w:rFonts w:ascii="Times New Roman" w:hAnsi="Times New Roman"/>
          <w:sz w:val="24"/>
          <w:szCs w:val="28"/>
        </w:rPr>
      </w:r>
    </w:p>
    <w:p>
      <w:pPr>
        <w:pStyle w:val="761"/>
        <w:ind w:left="0" w:firstLine="709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первых и важнейших задач творческой группы учителей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Государственного бюджетного общеобразовательного учреждения средняя общеобразовательная школа №359 Фрунзенского района Санкт-Петербурга (далее </w:t>
      </w:r>
      <w:r>
        <w:rPr>
          <w:rFonts w:ascii="Times New Roman" w:hAnsi="Times New Roman" w:cs="Times New Roman"/>
          <w:sz w:val="24"/>
          <w:szCs w:val="24"/>
        </w:rPr>
        <w:t xml:space="preserve">ГБОУ «СОШ № 359»)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реализации темы «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Индивидуализация профессионального развития педагогических работников как одно из приоритетных направлений методической работы в условиях формирования системы непрерывного профессионального развития педагогов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в рамках сетевого проекта «Вектор учителя будущего» является разработка оценочного инструментария с учетом </w:t>
      </w:r>
      <w:r>
        <w:rPr>
          <w:rFonts w:ascii="Times New Roman" w:hAnsi="Times New Roman"/>
          <w:sz w:val="24"/>
          <w:szCs w:val="24"/>
        </w:rPr>
        <w:t xml:space="preserve">требований ФГОС и профессионального стандарта педагога для актуализации профессиональных компетенций педагогических </w:t>
      </w:r>
      <w:r>
        <w:rPr>
          <w:rFonts w:ascii="Times New Roman" w:hAnsi="Times New Roman"/>
          <w:sz w:val="24"/>
          <w:szCs w:val="24"/>
        </w:rPr>
        <w:t xml:space="preserve">работников и их диагностики. С целью ос</w:t>
      </w:r>
      <w:r>
        <w:rPr>
          <w:rFonts w:ascii="Times New Roman" w:hAnsi="Times New Roman"/>
          <w:sz w:val="24"/>
          <w:szCs w:val="24"/>
        </w:rPr>
        <w:t xml:space="preserve">уществления методическими службами образовательных организаций первого этапа индивидуализации -  самоопределения в качестве инструмента для проведения самоанализа и самооценки профессиональной деятельности рекомендуем к использованию оценочный лист учителя</w:t>
      </w:r>
      <w:r>
        <w:rPr>
          <w:rFonts w:ascii="Times New Roman" w:hAnsi="Times New Roman"/>
          <w:sz w:val="24"/>
          <w:szCs w:val="24"/>
        </w:rPr>
        <w:t xml:space="preserve">, состоящий из двух таблиц с приложенными инструкциями по заполнению, </w:t>
      </w:r>
      <w:r>
        <w:rPr>
          <w:rFonts w:ascii="Times New Roman" w:hAnsi="Times New Roman"/>
          <w:sz w:val="24"/>
          <w:szCs w:val="24"/>
        </w:rPr>
        <w:t xml:space="preserve">и анкету для</w:t>
      </w:r>
      <w:r>
        <w:rPr>
          <w:rFonts w:ascii="Times New Roman" w:hAnsi="Times New Roman"/>
          <w:sz w:val="24"/>
          <w:szCs w:val="24"/>
        </w:rPr>
        <w:t xml:space="preserve"> педагогов.</w:t>
      </w:r>
      <w:r>
        <w:rPr>
          <w:rFonts w:ascii="Times New Roman" w:hAnsi="Times New Roman"/>
          <w:sz w:val="24"/>
          <w:szCs w:val="24"/>
        </w:rPr>
      </w:r>
    </w:p>
    <w:p>
      <w:pPr>
        <w:pStyle w:val="761"/>
        <w:ind w:left="0" w:firstLine="709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61"/>
        <w:ind w:left="0" w:firstLine="709"/>
        <w:jc w:val="both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Самоанализ и самооценка профессиональной деятельности</w:t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Оценочный лист учителя</w:t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___</w:t>
      </w:r>
      <w:r>
        <w:rPr>
          <w:rFonts w:ascii="Times New Roman" w:hAnsi="Times New Roman"/>
          <w:b/>
          <w:sz w:val="24"/>
          <w:szCs w:val="24"/>
        </w:rPr>
        <w:t xml:space="preserve">____________________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________________________у</w:t>
      </w:r>
      <w:r>
        <w:rPr>
          <w:rFonts w:ascii="Times New Roman" w:hAnsi="Times New Roman"/>
          <w:sz w:val="24"/>
          <w:szCs w:val="24"/>
        </w:rPr>
        <w:t xml:space="preserve">чебный</w:t>
      </w:r>
      <w:r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Учитель: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Предмет: 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Цель: самоанализ и самооценка педагогами трудовых функций в соответствии с профессиональным стандартом; выявление трудовых функций педагогических работников, требующих формирования и/или развития.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Инструкция:</w:t>
      </w:r>
      <w:r>
        <w:rPr>
          <w:rFonts w:ascii="Times New Roman" w:hAnsi="Times New Roman"/>
          <w:sz w:val="24"/>
          <w:szCs w:val="24"/>
        </w:rPr>
        <w:t xml:space="preserve"> запишите в таблице </w:t>
      </w:r>
      <w:r>
        <w:rPr>
          <w:rFonts w:ascii="Times New Roman" w:hAnsi="Times New Roman"/>
          <w:sz w:val="24"/>
          <w:szCs w:val="24"/>
        </w:rPr>
        <w:t xml:space="preserve">«Мои профессиональные достижения»</w:t>
      </w:r>
      <w:r>
        <w:rPr>
          <w:rFonts w:ascii="Times New Roman" w:hAnsi="Times New Roman"/>
          <w:sz w:val="24"/>
          <w:szCs w:val="24"/>
        </w:rPr>
        <w:t xml:space="preserve"> компетенции, которые вы можете оценить баллом «3» (по 3-балльной системе)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используя перечень компетенций (трудовых действий), соответствующих требованиям профе</w:t>
      </w:r>
      <w:r>
        <w:rPr>
          <w:rFonts w:ascii="Times New Roman" w:hAnsi="Times New Roman"/>
          <w:sz w:val="24"/>
          <w:szCs w:val="24"/>
        </w:rPr>
        <w:t xml:space="preserve">ссионального стандарта </w:t>
      </w:r>
      <w:r>
        <w:rPr>
          <w:rFonts w:ascii="Times New Roman" w:hAnsi="Times New Roman"/>
          <w:sz w:val="24"/>
          <w:szCs w:val="24"/>
        </w:rPr>
        <w:t xml:space="preserve">педагога</w:t>
      </w:r>
      <w:r>
        <w:rPr>
          <w:rStyle w:val="760"/>
          <w:rFonts w:ascii="Times New Roman" w:hAnsi="Times New Roman"/>
          <w:sz w:val="24"/>
          <w:szCs w:val="24"/>
        </w:rPr>
        <w:footnoteReference w:id="4"/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Выделите те из них, успешный опыт реализации которых можете представить</w:t>
      </w:r>
      <w:r>
        <w:rPr>
          <w:rFonts w:ascii="Times New Roman" w:hAnsi="Times New Roman"/>
          <w:sz w:val="24"/>
          <w:szCs w:val="24"/>
        </w:rPr>
        <w:t xml:space="preserve"> коллегам, для этого поставьте </w:t>
      </w:r>
      <w:r>
        <w:rPr>
          <w:rFonts w:ascii="Times New Roman" w:hAnsi="Times New Roman"/>
          <w:sz w:val="24"/>
          <w:szCs w:val="24"/>
        </w:rPr>
        <w:t xml:space="preserve">знак «+» рядом с выд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еленной </w:t>
      </w:r>
      <w:r>
        <w:rPr>
          <w:rFonts w:ascii="Times New Roman" w:hAnsi="Times New Roman"/>
          <w:sz w:val="24"/>
          <w:szCs w:val="24"/>
        </w:rPr>
        <w:t xml:space="preserve">компетенцией в графе</w:t>
      </w:r>
      <w:r>
        <w:rPr>
          <w:rFonts w:ascii="Times New Roman" w:hAnsi="Times New Roman"/>
          <w:sz w:val="24"/>
          <w:szCs w:val="24"/>
        </w:rPr>
        <w:t xml:space="preserve"> «Примечание». Определите форму представления опыта и сформулируйте тему.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1 «Мои профессиональные достижения»</w:t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3913"/>
        <w:gridCol w:w="1583"/>
        <w:gridCol w:w="2721"/>
        <w:gridCol w:w="1380"/>
      </w:tblGrid>
      <w:tr>
        <w:trPr/>
        <w:tc>
          <w:tcPr>
            <w:tcW w:w="3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Компетенции (трудовые действия), оцененные баллом «3»</w:t>
            </w:r>
            <w:r>
              <w:rPr>
                <w:rFonts w:ascii="Times New Roman" w:hAnsi="Times New Roman"/>
                <w:b/>
                <w:sz w:val="20"/>
                <w:szCs w:val="24"/>
              </w:rPr>
            </w:r>
          </w:p>
        </w:tc>
        <w:tc>
          <w:tcPr>
            <w:tcW w:w="15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Примечание</w:t>
            </w:r>
            <w:r>
              <w:rPr>
                <w:rFonts w:ascii="Times New Roman" w:hAnsi="Times New Roman"/>
                <w:b/>
                <w:sz w:val="20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(знак «+»)</w:t>
            </w:r>
            <w:r>
              <w:rPr>
                <w:rFonts w:ascii="Times New Roman" w:hAnsi="Times New Roman"/>
                <w:b/>
                <w:sz w:val="20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Форма </w:t>
            </w:r>
            <w:r>
              <w:rPr>
                <w:rFonts w:ascii="Times New Roman" w:hAnsi="Times New Roman"/>
                <w:b/>
                <w:sz w:val="20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представления опыта</w:t>
            </w:r>
            <w:r>
              <w:rPr>
                <w:rFonts w:ascii="Times New Roman" w:hAnsi="Times New Roman"/>
                <w:b/>
                <w:sz w:val="20"/>
                <w:szCs w:val="24"/>
              </w:rPr>
            </w:r>
          </w:p>
        </w:tc>
        <w:tc>
          <w:tcPr>
            <w:tcW w:w="138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Тема </w:t>
            </w:r>
            <w:r>
              <w:rPr>
                <w:rFonts w:ascii="Times New Roman" w:hAnsi="Times New Roman"/>
                <w:b/>
                <w:sz w:val="20"/>
                <w:szCs w:val="24"/>
              </w:rPr>
            </w:r>
          </w:p>
        </w:tc>
      </w:tr>
      <w:tr>
        <w:trPr>
          <w:trHeight w:val="363"/>
        </w:trPr>
        <w:tc>
          <w:tcPr>
            <w:gridSpan w:val="4"/>
            <w:tcW w:w="95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Трудовая функция «Общепедагогическая функция. Обучение»</w:t>
            </w:r>
            <w:r>
              <w:rPr>
                <w:rFonts w:ascii="Times New Roman" w:hAnsi="Times New Roman"/>
                <w:i/>
                <w:color w:val="ff0000"/>
                <w:sz w:val="20"/>
                <w:szCs w:val="24"/>
              </w:rPr>
            </w:r>
          </w:p>
        </w:tc>
      </w:tr>
      <w:tr>
        <w:trPr/>
        <w:tc>
          <w:tcPr>
            <w:tcW w:w="3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15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1380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</w:tr>
      <w:tr>
        <w:trPr/>
        <w:tc>
          <w:tcPr>
            <w:gridSpan w:val="4"/>
            <w:tcW w:w="95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Трудовая функция «Воспитательная деятельность»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</w:tc>
      </w:tr>
      <w:tr>
        <w:trPr/>
        <w:tc>
          <w:tcPr>
            <w:tcW w:w="3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15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1380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</w:tr>
      <w:tr>
        <w:trPr/>
        <w:tc>
          <w:tcPr>
            <w:gridSpan w:val="4"/>
            <w:tcW w:w="95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Трудовая функция «Развивающая деятельность»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</w:tc>
      </w:tr>
      <w:tr>
        <w:trPr/>
        <w:tc>
          <w:tcPr>
            <w:tcW w:w="3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15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1380" w:type="dxa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</w:tr>
      <w:tr>
        <w:trPr/>
        <w:tc>
          <w:tcPr>
            <w:gridSpan w:val="4"/>
            <w:tcW w:w="959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Трудовая функция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 «Педагогическая деятельность по реализации программ начального общего образования» «Педагогическая деятельность по реализации программ основного и среднего общего образования»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</w:tc>
      </w:tr>
      <w:tr>
        <w:trPr/>
        <w:tc>
          <w:tcPr>
            <w:tcW w:w="3913" w:type="dxa"/>
            <w:textDirection w:val="lrTb"/>
            <w:noWrap w:val="false"/>
          </w:tcPr>
          <w:p>
            <w:pPr>
              <w:ind w:firstLine="709"/>
              <w:jc w:val="both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83" w:type="dxa"/>
            <w:textDirection w:val="lrTb"/>
            <w:noWrap w:val="false"/>
          </w:tcPr>
          <w:p>
            <w:pPr>
              <w:ind w:firstLine="709"/>
              <w:jc w:val="both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721" w:type="dxa"/>
            <w:textDirection w:val="lrTb"/>
            <w:noWrap w:val="false"/>
          </w:tcPr>
          <w:p>
            <w:pPr>
              <w:ind w:firstLine="709"/>
              <w:jc w:val="both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80" w:type="dxa"/>
            <w:textDirection w:val="lrTb"/>
            <w:noWrap w:val="false"/>
          </w:tcPr>
          <w:p>
            <w:pPr>
              <w:ind w:firstLine="709"/>
              <w:jc w:val="both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Инструкция: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запишите в </w:t>
      </w:r>
      <w:r>
        <w:rPr>
          <w:rFonts w:ascii="Times New Roman" w:hAnsi="Times New Roman"/>
          <w:sz w:val="24"/>
          <w:szCs w:val="24"/>
        </w:rPr>
        <w:t xml:space="preserve">таблице «Мои профессиональные дефициты»</w:t>
      </w:r>
      <w:r>
        <w:rPr>
          <w:rFonts w:ascii="Times New Roman" w:hAnsi="Times New Roman"/>
          <w:sz w:val="24"/>
          <w:szCs w:val="24"/>
        </w:rPr>
        <w:t xml:space="preserve"> те компетенции, которые вы можете оценить баллом «2» (требуют развития) и баллом «1» </w:t>
      </w:r>
      <w:r>
        <w:rPr>
          <w:rFonts w:ascii="Times New Roman" w:hAnsi="Times New Roman"/>
          <w:sz w:val="24"/>
          <w:szCs w:val="24"/>
        </w:rPr>
        <w:t xml:space="preserve">(недостаточный уровень </w:t>
      </w:r>
      <w:r>
        <w:rPr>
          <w:rFonts w:ascii="Times New Roman" w:hAnsi="Times New Roman"/>
          <w:sz w:val="24"/>
          <w:szCs w:val="24"/>
        </w:rPr>
        <w:t xml:space="preserve">сформированности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, и</w:t>
      </w:r>
      <w:r>
        <w:rPr>
          <w:rFonts w:ascii="Times New Roman" w:hAnsi="Times New Roman"/>
          <w:sz w:val="24"/>
          <w:szCs w:val="24"/>
        </w:rPr>
        <w:t xml:space="preserve">спользуя перечень компетенций</w:t>
      </w:r>
      <w:r>
        <w:rPr>
          <w:rFonts w:ascii="Times New Roman" w:hAnsi="Times New Roman"/>
          <w:sz w:val="24"/>
          <w:szCs w:val="24"/>
        </w:rPr>
        <w:t xml:space="preserve"> (трудовых действий), соответствующих требованиям профессионального стандарта педагога</w:t>
      </w:r>
      <w:r>
        <w:rPr>
          <w:rStyle w:val="760"/>
          <w:rFonts w:ascii="Times New Roman" w:hAnsi="Times New Roman"/>
          <w:sz w:val="24"/>
          <w:szCs w:val="24"/>
        </w:rPr>
        <w:footnoteReference w:id="5"/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Распределите выделенные дефициты по степени актуальности их восполнения в текущем учебном году и в последующие годы (от</w:t>
      </w:r>
      <w:r>
        <w:rPr>
          <w:rFonts w:ascii="Times New Roman" w:hAnsi="Times New Roman"/>
          <w:sz w:val="24"/>
          <w:szCs w:val="24"/>
        </w:rPr>
        <w:t xml:space="preserve"> сам</w:t>
      </w:r>
      <w:r>
        <w:rPr>
          <w:rFonts w:ascii="Times New Roman" w:hAnsi="Times New Roman"/>
          <w:sz w:val="24"/>
          <w:szCs w:val="24"/>
        </w:rPr>
        <w:t xml:space="preserve">ой</w:t>
      </w:r>
      <w:r>
        <w:rPr>
          <w:rFonts w:ascii="Times New Roman" w:hAnsi="Times New Roman"/>
          <w:sz w:val="24"/>
          <w:szCs w:val="24"/>
        </w:rPr>
        <w:t xml:space="preserve"> высок</w:t>
      </w:r>
      <w:r>
        <w:rPr>
          <w:rFonts w:ascii="Times New Roman" w:hAnsi="Times New Roman"/>
          <w:sz w:val="24"/>
          <w:szCs w:val="24"/>
        </w:rPr>
        <w:t xml:space="preserve">ой степени актуальности до низкой степени</w:t>
      </w:r>
      <w:r>
        <w:rPr>
          <w:rFonts w:ascii="Times New Roman" w:hAnsi="Times New Roman"/>
          <w:sz w:val="24"/>
          <w:szCs w:val="24"/>
        </w:rPr>
        <w:t xml:space="preserve"> актуальности)</w:t>
      </w:r>
      <w:r>
        <w:rPr>
          <w:rFonts w:ascii="Times New Roman" w:hAnsi="Times New Roman"/>
          <w:sz w:val="24"/>
          <w:szCs w:val="24"/>
        </w:rPr>
        <w:t xml:space="preserve">. Определите формы повышения профессионального мастерства, которые являются эффективными для восполнения выделенных дефицитов </w:t>
      </w:r>
      <w:r>
        <w:rPr>
          <w:rFonts w:ascii="Times New Roman" w:hAnsi="Times New Roman"/>
          <w:sz w:val="24"/>
          <w:szCs w:val="24"/>
        </w:rPr>
        <w:t xml:space="preserve">(теоретический семинар, семинар-практикум, консультация, коллективный просмотр педагогического процесса, посещение уроков коллег, работа с методической литературой / документами, наставничество, </w:t>
      </w:r>
      <w:r>
        <w:rPr>
          <w:rFonts w:ascii="Times New Roman" w:hAnsi="Times New Roman"/>
          <w:sz w:val="24"/>
          <w:szCs w:val="24"/>
        </w:rPr>
        <w:t xml:space="preserve">вебинар</w:t>
      </w:r>
      <w:r>
        <w:rPr>
          <w:rFonts w:ascii="Times New Roman" w:hAnsi="Times New Roman"/>
          <w:sz w:val="24"/>
          <w:szCs w:val="24"/>
        </w:rPr>
        <w:t xml:space="preserve">, дискуссия, прения, деловая игра, круглый стол, мастер-класс, тренинг, творческая лаборатория, проблемная группа и др.).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2 «Мои профессиональные дефициты»</w:t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3256"/>
        <w:gridCol w:w="3402"/>
        <w:gridCol w:w="2913"/>
      </w:tblGrid>
      <w:tr>
        <w:trPr>
          <w:trHeight w:val="766"/>
        </w:trPr>
        <w:tc>
          <w:tcPr>
            <w:tcW w:w="32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Компетенции (трудовые действия), оцененные баллом «1» или «2»</w:t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Распределение дефицитов по степени актуальности их восполнения</w:t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291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Форма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повышения профессионального мастерства</w:t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</w:tr>
      <w:tr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Трудовая функция </w:t>
            </w: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«Общепедагогическая функция. Обучение»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</w:tc>
      </w:tr>
      <w:tr>
        <w:trPr/>
        <w:tc>
          <w:tcPr>
            <w:tcW w:w="32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2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</w:tr>
      <w:tr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Трудовая функция «Воспитательная деятельность»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</w:tc>
      </w:tr>
      <w:tr>
        <w:trPr/>
        <w:tc>
          <w:tcPr>
            <w:tcW w:w="32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2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</w:tr>
      <w:tr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Трудовая функция</w:t>
            </w: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 «Развивающая деятельность»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</w:tc>
      </w:tr>
      <w:tr>
        <w:trPr/>
        <w:tc>
          <w:tcPr>
            <w:tcW w:w="32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  <w:tc>
          <w:tcPr>
            <w:tcW w:w="2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</w:r>
            <w:r>
              <w:rPr>
                <w:rFonts w:ascii="Times New Roman" w:hAnsi="Times New Roman"/>
                <w:sz w:val="20"/>
                <w:szCs w:val="24"/>
              </w:rPr>
            </w:r>
          </w:p>
        </w:tc>
      </w:tr>
      <w:tr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Трудовая функция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>
              <w:rPr>
                <w:rFonts w:ascii="Times New Roman" w:hAnsi="Times New Roman"/>
                <w:i/>
                <w:sz w:val="20"/>
                <w:szCs w:val="24"/>
              </w:rPr>
              <w:t xml:space="preserve"> «Педагогическая деятельность по реализации программ начального общего образования» «Педагогическая деятельность по реализации программ основного и среднего общего образования»</w:t>
            </w:r>
            <w:r>
              <w:rPr>
                <w:rFonts w:ascii="Times New Roman" w:hAnsi="Times New Roman"/>
                <w:i/>
                <w:sz w:val="20"/>
                <w:szCs w:val="24"/>
              </w:rPr>
            </w:r>
          </w:p>
        </w:tc>
      </w:tr>
      <w:tr>
        <w:trPr/>
        <w:tc>
          <w:tcPr>
            <w:tcW w:w="32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Анкета учителя</w:t>
      </w:r>
      <w:r>
        <w:rPr>
          <w:rFonts w:ascii="Times New Roman" w:hAnsi="Times New Roman"/>
          <w:b/>
          <w:sz w:val="24"/>
          <w:szCs w:val="28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____________________________________________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______________________________</w:t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Ф.И.О. учителя 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______________________________</w:t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Учебный предмет _________________________________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______________________________</w:t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Стаж педагогической работы ______________________</w:t>
      </w:r>
      <w:r>
        <w:rPr>
          <w:rFonts w:ascii="Times New Roman" w:hAnsi="Times New Roman"/>
          <w:sz w:val="24"/>
          <w:szCs w:val="24"/>
        </w:rPr>
        <w:t xml:space="preserve">_______________________________</w:t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Кла</w:t>
      </w:r>
      <w:r>
        <w:rPr>
          <w:rFonts w:ascii="Times New Roman" w:hAnsi="Times New Roman"/>
          <w:sz w:val="24"/>
          <w:szCs w:val="24"/>
        </w:rPr>
        <w:t xml:space="preserve">ссы, в которых учитель работает</w:t>
      </w:r>
      <w:r>
        <w:rPr>
          <w:rFonts w:ascii="Times New Roman" w:hAnsi="Times New Roman"/>
          <w:sz w:val="24"/>
          <w:szCs w:val="24"/>
        </w:rPr>
        <w:t xml:space="preserve">________________</w:t>
      </w:r>
      <w:r>
        <w:rPr>
          <w:rFonts w:ascii="Times New Roman" w:hAnsi="Times New Roman"/>
          <w:sz w:val="24"/>
          <w:szCs w:val="24"/>
        </w:rPr>
        <w:t xml:space="preserve">________________________________</w:t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61"/>
        <w:gridCol w:w="1847"/>
        <w:gridCol w:w="1119"/>
        <w:gridCol w:w="943"/>
      </w:tblGrid>
      <w:tr>
        <w:trPr/>
        <w:tc>
          <w:tcPr>
            <w:tcW w:w="56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Параметры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3"/>
            <w:tcW w:w="39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Варианты ответов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Могу поделиться опытом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Успешно решаю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Нужна помощь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rPr/>
        <w:tc>
          <w:tcPr>
            <w:gridSpan w:val="4"/>
            <w:tcW w:w="95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Планирование учебной деятельности на основе вариативных форм ее организации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Разработка плана-конспекта (технологической карты) урока с учётом разных уровней учебной мотивации учащихся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разноуровневых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классов  («сильный класс», «слабый класс»)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Обоснование принципов и различий в отборе содержания (заданий) для учащихся с разным уровнем мотивации и для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разноуровневых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классов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Учёт при планировании учебной деятельности результатов ВПР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Учёт при планировании учебной деятельности результатов международных сравнительных исследований качества образования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Использование электронного банка заданий по формированию функциональной грамотности (</w:t>
            </w:r>
            <w:hyperlink r:id="rId10" w:tooltip="https://fg.resh.edu.ru" w:history="1">
              <w:r>
                <w:rPr>
                  <w:rStyle w:val="762"/>
                  <w:rFonts w:ascii="Times New Roman" w:hAnsi="Times New Roman"/>
                  <w:sz w:val="20"/>
                  <w:szCs w:val="20"/>
                </w:rPr>
                <w:t xml:space="preserve">https://fg.resh.edu.ru</w:t>
              </w:r>
            </w:hyperlink>
            <w:r>
              <w:rPr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 образовательных платформ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Учёт при планировании учебной деятельности результатов ГИА. Использование заданий из банка на сайте ФИПИ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Учёт при планировании учебной деятельности результатов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ВсОШ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Использование заданий олимпиадного цикла для учащихся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Учет при планировании учебной деятельности регионального содержания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gridSpan w:val="4"/>
            <w:tcW w:w="95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Планирование результатов учебной деятельности, 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применение методик и технологий их достижения, в том числе инклюзивных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Формулирование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планируемых  результатов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освоения содержания изучаемой темы с учетом разных уровней учебной мотивации учащихся и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разноуровневых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классов  («сильный класс», «слабый класс»)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Определение и обоснование использования приемов мотивации учащихся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Определение и обоснование использования на разных этапах урока видов, способов, приемов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организации  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учащихся, направленной на достижение результатов 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Определение и обоснование использования на разных этапах урока приемов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организации  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учащихся с ОВЗ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Использование технологии проектной деятельности на уроках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Использование технологии исследовательской деятельности на уроках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gridSpan w:val="4"/>
            <w:tcW w:w="95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Реализация педагогического оценивания, применение инструментария 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объективной оценки образовательных результатов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Оценивание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метапредметных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образовате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льных результатов, в том числе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 основе стандартизированных критериев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Оценивание предметн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ых образовательных результатов,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том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числе  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основе стандартизированных критериев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Формулирование методических рекомендаций, отбор заданий, направленных   на восполнение выявленных в ходе ВПР дефицитов учащихся  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Использование формирующего оценивания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Составле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ние проверочных работ с учетом требований ФГОС к разным уровням подготовки выпускников («Выпускник научится», «Выпускник получит возможность научиться»), кодификаторов элементов содержания и универсального кодификатора проверяемых требований к результатам 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gridSpan w:val="4"/>
            <w:tcW w:w="95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Реализация воспитат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ельного потенциала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урочной и внеурочной деятельности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Постановка и реализация воспитательных целей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Определение и принятие правил поведения учащимися. Регулирование поведения для обеспечения безопасной образовательной среды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Реализация современных форм и методов воспитательной работы, в том числе интерактивных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566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Проектирование ситуаций и событий, развивающих эмоционально-ценностную сферу ребенка (культуру переживаний и ценностные ориентации) 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Таким образом, р</w:t>
      </w:r>
      <w:r>
        <w:rPr>
          <w:rFonts w:ascii="Times New Roman" w:hAnsi="Times New Roman"/>
          <w:sz w:val="24"/>
          <w:szCs w:val="28"/>
        </w:rPr>
        <w:t xml:space="preserve">езультатом </w:t>
      </w:r>
      <w:r>
        <w:rPr>
          <w:rFonts w:ascii="Times New Roman" w:hAnsi="Times New Roman"/>
          <w:sz w:val="24"/>
          <w:szCs w:val="28"/>
        </w:rPr>
        <w:t xml:space="preserve">проведенной диагностики, </w:t>
      </w:r>
      <w:r>
        <w:rPr>
          <w:rFonts w:ascii="Times New Roman" w:hAnsi="Times New Roman"/>
          <w:sz w:val="24"/>
          <w:szCs w:val="28"/>
        </w:rPr>
        <w:t xml:space="preserve">специально организованных мероприятий должно стать осмысление профессионального опыта педагога и его профессиональный успех, достигнутый с помощью построения индивидуальной образовательной траектории педагогического работника - персонального</w:t>
      </w:r>
      <w:r>
        <w:rPr>
          <w:rFonts w:ascii="Times New Roman" w:hAnsi="Times New Roman"/>
          <w:sz w:val="24"/>
          <w:szCs w:val="28"/>
        </w:rPr>
        <w:t xml:space="preserve"> пути педагогического работника, реализуемого на основе мотивированного выбора образовательных альтернатив по результатам диагностики профессиональных компетенций, в том числе выявленных по итогам независимой оценки компетенций педагогических работников</w:t>
      </w:r>
      <w:r>
        <w:rPr>
          <w:rStyle w:val="760"/>
          <w:rFonts w:ascii="Times New Roman" w:hAnsi="Times New Roman"/>
          <w:sz w:val="24"/>
          <w:szCs w:val="28"/>
        </w:rPr>
        <w:footnoteReference w:id="6"/>
      </w:r>
      <w:r>
        <w:rPr>
          <w:rFonts w:ascii="Times New Roman" w:hAnsi="Times New Roman"/>
          <w:sz w:val="24"/>
          <w:szCs w:val="28"/>
        </w:rPr>
        <w:t xml:space="preserve">.  </w:t>
      </w:r>
      <w:r>
        <w:rPr>
          <w:rFonts w:ascii="Times New Roman" w:hAnsi="Times New Roman"/>
          <w:sz w:val="24"/>
          <w:szCs w:val="28"/>
        </w:rPr>
      </w:r>
    </w:p>
    <w:p>
      <w:pPr>
        <w:ind w:left="-142" w:firstLine="568"/>
        <w:jc w:val="both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 xml:space="preserve">Список источников</w:t>
      </w:r>
      <w:r>
        <w:rPr>
          <w:rFonts w:ascii="Times New Roman" w:hAnsi="Times New Roman"/>
          <w:b/>
          <w:sz w:val="24"/>
          <w:szCs w:val="20"/>
        </w:rPr>
      </w:r>
    </w:p>
    <w:p>
      <w:pPr>
        <w:pStyle w:val="761"/>
        <w:numPr>
          <w:ilvl w:val="0"/>
          <w:numId w:val="2"/>
        </w:numPr>
        <w:ind w:left="0" w:firstLine="0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Методические рекомендации по организации методической работы в условиях формирования единой системы непрерывного профессионального развития педагогических работников / Авторы - составители: О.Н. Меньшикова [и др.]. – Мурманск: МБУ ДПО г. </w:t>
      </w:r>
      <w:r>
        <w:rPr>
          <w:rFonts w:ascii="Times New Roman" w:hAnsi="Times New Roman" w:cs="Times New Roman"/>
          <w:sz w:val="24"/>
          <w:szCs w:val="24"/>
        </w:rPr>
        <w:t xml:space="preserve">Мурманска ГИМЦ РО, 2022. – 56 с. // </w:t>
      </w:r>
      <w:hyperlink r:id="rId11" w:tooltip="http://gimcro.edu.murmansk.ru/images/plans/metod-2022.pdf" w:history="1">
        <w:r>
          <w:rPr>
            <w:rStyle w:val="762"/>
            <w:rFonts w:ascii="Times New Roman" w:hAnsi="Times New Roman" w:cs="Times New Roman"/>
            <w:sz w:val="24"/>
            <w:szCs w:val="24"/>
          </w:rPr>
          <w:t xml:space="preserve">http://gimcro.edu.murmansk.ru/images/plans/metod-2022.pdf</w:t>
        </w:r>
      </w:hyperlink>
      <w:r/>
      <w:r>
        <w:rPr>
          <w:rFonts w:ascii="Times New Roman" w:hAnsi="Times New Roman" w:cs="Times New Roman"/>
          <w:sz w:val="24"/>
          <w:szCs w:val="24"/>
        </w:rPr>
      </w:r>
    </w:p>
    <w:p>
      <w:pPr>
        <w:pStyle w:val="761"/>
        <w:numPr>
          <w:ilvl w:val="0"/>
          <w:numId w:val="2"/>
        </w:numPr>
        <w:ind w:left="0" w:firstLine="0"/>
        <w:jc w:val="both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Методические рекомендации по порядку и фо</w:t>
      </w:r>
      <w:r>
        <w:rPr>
          <w:rFonts w:ascii="Times New Roman" w:hAnsi="Times New Roman"/>
          <w:sz w:val="24"/>
          <w:szCs w:val="24"/>
        </w:rPr>
        <w:t xml:space="preserve">рмам диагностики профессиональных дефицитов педагогических работников и управленческих кадров образовательных организаций с возможностью получения индивидуальных планов, утв. распоряжением Министерства просвещения Российской Федерации от 27.08.2021 № Р-201</w:t>
      </w:r>
      <w:r>
        <w:rPr>
          <w:rFonts w:ascii="Times New Roman" w:hAnsi="Times New Roman"/>
          <w:sz w:val="24"/>
          <w:szCs w:val="24"/>
        </w:rPr>
        <w:t xml:space="preserve"> // </w:t>
      </w:r>
      <w:hyperlink r:id="rId12" w:tooltip="https://goo.su/IHmJR6v" w:history="1">
        <w:r>
          <w:rPr>
            <w:rStyle w:val="762"/>
            <w:rFonts w:ascii="Times New Roman" w:hAnsi="Times New Roman"/>
            <w:sz w:val="24"/>
            <w:szCs w:val="24"/>
          </w:rPr>
          <w:t xml:space="preserve">https://goo.su/IHmJR6v</w:t>
        </w:r>
      </w:hyperlink>
      <w:r/>
      <w:r>
        <w:rPr>
          <w:rFonts w:ascii="Times New Roman" w:hAnsi="Times New Roman"/>
          <w:b/>
          <w:sz w:val="24"/>
          <w:szCs w:val="24"/>
        </w:rPr>
      </w:r>
    </w:p>
    <w:p>
      <w:pPr>
        <w:pStyle w:val="761"/>
        <w:numPr>
          <w:ilvl w:val="0"/>
          <w:numId w:val="2"/>
        </w:numPr>
        <w:ind w:left="0" w:firstLine="0"/>
        <w:jc w:val="both"/>
        <w:spacing w:after="0" w:line="360" w:lineRule="auto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Методическое сопровождение педагога в процессе составления и реализации индивидуального образовательного маршрута: </w:t>
      </w:r>
      <w:r>
        <w:rPr>
          <w:rFonts w:ascii="Times New Roman" w:hAnsi="Times New Roman" w:cs="Times New Roman"/>
          <w:sz w:val="24"/>
          <w:szCs w:val="24"/>
        </w:rPr>
        <w:t xml:space="preserve">учебно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методическое пособие / Е.А. </w:t>
      </w:r>
      <w:r>
        <w:rPr>
          <w:rFonts w:ascii="Times New Roman" w:hAnsi="Times New Roman" w:cs="Times New Roman"/>
          <w:sz w:val="24"/>
          <w:szCs w:val="24"/>
        </w:rPr>
        <w:t xml:space="preserve">Чиганова</w:t>
      </w:r>
      <w:r>
        <w:rPr>
          <w:rFonts w:ascii="Times New Roman" w:hAnsi="Times New Roman" w:cs="Times New Roman"/>
          <w:sz w:val="24"/>
          <w:szCs w:val="24"/>
        </w:rPr>
        <w:t xml:space="preserve">, Н.Ф. Ильина, И.Ю. Степанова, Ю.А. Никитенко, О.В. Богданова, Я.М. Дайнеко, А.А. </w:t>
      </w:r>
      <w:r>
        <w:rPr>
          <w:rFonts w:ascii="Times New Roman" w:hAnsi="Times New Roman" w:cs="Times New Roman"/>
          <w:sz w:val="24"/>
          <w:szCs w:val="24"/>
        </w:rPr>
        <w:t xml:space="preserve">Ключникова</w:t>
      </w:r>
      <w:r>
        <w:rPr>
          <w:rFonts w:ascii="Times New Roman" w:hAnsi="Times New Roman" w:cs="Times New Roman"/>
          <w:sz w:val="24"/>
          <w:szCs w:val="24"/>
        </w:rPr>
        <w:t xml:space="preserve">. Красноярск, 2022. – 88 с. // </w:t>
      </w:r>
      <w:hyperlink r:id="rId13" w:tooltip="https://goo.su/Kxc7i" w:history="1">
        <w:r>
          <w:rPr>
            <w:rStyle w:val="762"/>
            <w:rFonts w:ascii="Times New Roman" w:hAnsi="Times New Roman" w:cs="Times New Roman"/>
            <w:sz w:val="24"/>
            <w:szCs w:val="24"/>
          </w:rPr>
          <w:t xml:space="preserve">https://goo.su/Kxc7i</w:t>
        </w:r>
      </w:hyperlink>
      <w:r/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</w:p>
    <w:p>
      <w:pPr>
        <w:pStyle w:val="761"/>
        <w:numPr>
          <w:ilvl w:val="0"/>
          <w:numId w:val="2"/>
        </w:numPr>
        <w:ind w:left="0" w:firstLine="0"/>
        <w:jc w:val="both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принципы национальной системы профессионального роста педагогических </w:t>
      </w:r>
      <w:r>
        <w:rPr>
          <w:rFonts w:ascii="Times New Roman" w:hAnsi="Times New Roman"/>
          <w:sz w:val="24"/>
          <w:szCs w:val="24"/>
        </w:rPr>
        <w:t xml:space="preserve">работников Российской Федерации, включая национальную систему учительского роста, утв. распоряжением Правительства Российской Федерации от 31 декабря 2019 г. № 3273-р (в редакции распоряжения Правительства Российской Федерации от 7 октября 2020 г. № 2580-р</w:t>
      </w:r>
      <w:r>
        <w:rPr>
          <w:rFonts w:ascii="Times New Roman" w:hAnsi="Times New Roman"/>
          <w:sz w:val="24"/>
          <w:szCs w:val="24"/>
        </w:rPr>
        <w:t xml:space="preserve">, от 20 августа 2021 г. № 2021 № 2283-р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 // </w:t>
      </w:r>
      <w:hyperlink r:id="rId14" w:tooltip="https://www.xn--80agteo2d4b.xn--p1ai/wp-content/uploads/2022/01/rasporyazhenie-pravitelstva-rf-ot-31.12.2019-n-3273-r-red.-o.pdf" w:history="1">
        <w:r>
          <w:rPr>
            <w:rStyle w:val="762"/>
            <w:rFonts w:ascii="Times New Roman" w:hAnsi="Times New Roman"/>
            <w:sz w:val="24"/>
            <w:szCs w:val="24"/>
          </w:rPr>
          <w:t xml:space="preserve">https://www.xn--80agteo2d4b.xn--p1ai/wp-content/uploads/2022/01/rasporyazhenie-pravitelstva-rf-ot-31.12.2019-n-3273-r-red.-o.pdf</w:t>
        </w:r>
      </w:hyperlink>
      <w:r/>
      <w:r>
        <w:rPr>
          <w:rFonts w:ascii="Times New Roman" w:hAnsi="Times New Roman"/>
          <w:b/>
          <w:sz w:val="24"/>
          <w:szCs w:val="24"/>
        </w:rPr>
      </w:r>
    </w:p>
    <w:p>
      <w:pPr>
        <w:pStyle w:val="761"/>
        <w:numPr>
          <w:ilvl w:val="0"/>
          <w:numId w:val="2"/>
        </w:numPr>
        <w:ind w:left="0" w:firstLine="0"/>
        <w:jc w:val="both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Профессиональный стандарт «Педагог (педагогическая деятельность в сфере дошкольного, начального общего, основного общего, среднего общего образования), (воспитатель, учитель)», утв. приказом Минтруда России от 18.10.2013 № 544н.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/</w:t>
      </w:r>
      <w:r>
        <w:rPr>
          <w:rFonts w:ascii="Times New Roman" w:hAnsi="Times New Roman"/>
          <w:sz w:val="24"/>
          <w:szCs w:val="24"/>
        </w:rPr>
        <w:t xml:space="preserve">/ 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5" w:tooltip="https://school3.kchr.eduru.ru/media/2020/02/11/1250875158/Profstandart_Pedagog.pdf" w:history="1">
        <w:r>
          <w:rPr>
            <w:rStyle w:val="762"/>
            <w:rFonts w:ascii="Times New Roman" w:hAnsi="Times New Roman"/>
            <w:sz w:val="24"/>
            <w:szCs w:val="24"/>
          </w:rPr>
          <w:t xml:space="preserve">https://school3.kchr.eduru.ru/media/2020/02/11/1250875158/Profstandart_Pedagog.pdf</w:t>
        </w:r>
      </w:hyperlink>
      <w:r/>
      <w:r>
        <w:rPr>
          <w:rFonts w:ascii="Times New Roman" w:hAnsi="Times New Roman"/>
          <w:b/>
          <w:sz w:val="24"/>
          <w:szCs w:val="24"/>
        </w:rPr>
      </w:r>
    </w:p>
    <w:p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259642814"/>
      <w:docPartObj>
        <w:docPartGallery w:val="Page Numbers (Bottom of Page)"/>
        <w:docPartUnique w:val="true"/>
      </w:docPartObj>
      <w:rPr/>
    </w:sdtPr>
    <w:sdtContent>
      <w:p>
        <w:pPr>
          <w:pStyle w:val="76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6</w:t>
        </w:r>
        <w:r>
          <w:fldChar w:fldCharType="end"/>
        </w:r>
        <w:r/>
      </w:p>
    </w:sdtContent>
  </w:sdt>
  <w:p>
    <w:pPr>
      <w:pStyle w:val="76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ind w:right="-1"/>
        <w:jc w:val="both"/>
        <w:spacing w:after="0" w:line="240" w:lineRule="auto"/>
        <w:rPr>
          <w:rFonts w:ascii="Times New Roman" w:hAnsi="Times New Roman"/>
          <w:sz w:val="18"/>
          <w:szCs w:val="20"/>
        </w:rPr>
      </w:pPr>
      <w:r>
        <w:rPr>
          <w:rStyle w:val="760"/>
        </w:rPr>
        <w:footnoteRef/>
      </w:r>
      <w:r>
        <w:t xml:space="preserve"> </w:t>
      </w:r>
      <w:r>
        <w:rPr>
          <w:rFonts w:ascii="Times New Roman" w:hAnsi="Times New Roman"/>
          <w:sz w:val="20"/>
        </w:rPr>
        <w:t xml:space="preserve">Основные принципы национальной системы профессионального роста педагогических р</w:t>
      </w:r>
      <w:r>
        <w:rPr>
          <w:rFonts w:ascii="Times New Roman" w:hAnsi="Times New Roman"/>
          <w:sz w:val="20"/>
        </w:rPr>
        <w:t xml:space="preserve">аботников Российской Федерации, включая национальную систему учительского роста, утв. распоряжением Правительства Российской Федерации от 31 декабря 2019 г. № 3273-р (в редакции распоряжения Правительства Российской Федерации от 7 октября 2020 г. № 2580-р)</w:t>
      </w:r>
      <w:r>
        <w:rPr>
          <w:rFonts w:ascii="Times New Roman" w:hAnsi="Times New Roman"/>
          <w:sz w:val="18"/>
          <w:szCs w:val="20"/>
        </w:rPr>
      </w:r>
    </w:p>
    <w:p>
      <w:pPr>
        <w:pStyle w:val="758"/>
      </w:pPr>
      <w:r/>
      <w:r/>
    </w:p>
  </w:footnote>
  <w:footnote w:id="3">
    <w:p>
      <w:pPr>
        <w:pStyle w:val="758"/>
        <w:jc w:val="both"/>
        <w:rPr>
          <w:sz w:val="18"/>
        </w:rPr>
      </w:pPr>
      <w:r>
        <w:rPr>
          <w:rStyle w:val="760"/>
        </w:rPr>
        <w:footnoteRef/>
      </w:r>
      <w:r>
        <w:t xml:space="preserve"> </w:t>
      </w:r>
      <w:r>
        <w:rPr>
          <w:rFonts w:ascii="Times New Roman" w:hAnsi="Times New Roman"/>
          <w:szCs w:val="22"/>
        </w:rPr>
        <w:t xml:space="preserve">Профессиональный стандарт «Педагог (педагогическая деятельность в сфере дошкольного, начального общего, основного общего, среднего общего образования), (воспитатель, учитель)», утв. приказом Минтруда России от 18.10.2013 № 544н.</w:t>
      </w:r>
      <w:r>
        <w:rPr>
          <w:sz w:val="18"/>
        </w:rPr>
      </w:r>
    </w:p>
  </w:footnote>
  <w:footnote w:id="4">
    <w:p>
      <w:pPr>
        <w:pStyle w:val="758"/>
        <w:jc w:val="both"/>
        <w:rPr>
          <w:rFonts w:ascii="Times New Roman" w:hAnsi="Times New Roman"/>
          <w:szCs w:val="22"/>
        </w:rPr>
      </w:pPr>
      <w:r>
        <w:rPr>
          <w:rStyle w:val="760"/>
        </w:rPr>
        <w:footnoteRef/>
      </w:r>
      <w:r>
        <w:t xml:space="preserve"> </w:t>
      </w:r>
      <w:r>
        <w:rPr>
          <w:rFonts w:ascii="Times New Roman" w:hAnsi="Times New Roman"/>
          <w:szCs w:val="22"/>
        </w:rPr>
        <w:t xml:space="preserve">Профессиональный стандарт «Педагог (педагогическая деятельность в сфере дошкольного, начального общего, основного общего, среднего общего образования), (воспитатель, учитель)», утв. приказом Минтруда России от 18.10.2013 № 544н.</w:t>
      </w:r>
      <w:r>
        <w:rPr>
          <w:rFonts w:ascii="Times New Roman" w:hAnsi="Times New Roman"/>
          <w:szCs w:val="22"/>
        </w:rPr>
        <w:t xml:space="preserve"> – см. раздел </w:t>
      </w:r>
      <w:r>
        <w:rPr>
          <w:rFonts w:ascii="Times New Roman" w:hAnsi="Times New Roman"/>
          <w:szCs w:val="22"/>
          <w:lang w:val="en-US"/>
        </w:rPr>
        <w:t xml:space="preserve">III</w:t>
      </w:r>
      <w:r>
        <w:rPr>
          <w:rFonts w:ascii="Times New Roman" w:hAnsi="Times New Roman"/>
          <w:szCs w:val="22"/>
        </w:rPr>
        <w:t xml:space="preserve">, пункты 3.1.1, 3.1.2, 3.1.3, 3.2.2, 3.2.3</w:t>
      </w:r>
      <w:r>
        <w:rPr>
          <w:rFonts w:ascii="Times New Roman" w:hAnsi="Times New Roman"/>
          <w:szCs w:val="22"/>
        </w:rPr>
      </w:r>
    </w:p>
    <w:p>
      <w:pPr>
        <w:pStyle w:val="758"/>
        <w:jc w:val="both"/>
      </w:pPr>
      <w:r/>
      <w:r/>
    </w:p>
  </w:footnote>
  <w:footnote w:id="5">
    <w:p>
      <w:pPr>
        <w:pStyle w:val="758"/>
        <w:jc w:val="both"/>
      </w:pPr>
      <w:r>
        <w:rPr>
          <w:rStyle w:val="760"/>
        </w:rPr>
        <w:footnoteRef/>
      </w:r>
      <w:r>
        <w:t xml:space="preserve"> </w:t>
      </w:r>
      <w:r>
        <w:rPr>
          <w:rFonts w:ascii="Times New Roman" w:hAnsi="Times New Roman"/>
          <w:szCs w:val="22"/>
        </w:rPr>
        <w:t xml:space="preserve">Профессиональный стандарт «Педагог (педагогическая деятельность в сфере дошкольного, начального общего, основного общего, среднего общего образования), (воспитатель, учитель)», утв. приказом Минтруда России от 18.10.2013 № 544н.</w:t>
      </w:r>
      <w:r>
        <w:rPr>
          <w:rFonts w:ascii="Times New Roman" w:hAnsi="Times New Roman"/>
          <w:szCs w:val="22"/>
        </w:rPr>
        <w:t xml:space="preserve"> – см. раздел </w:t>
      </w:r>
      <w:r>
        <w:rPr>
          <w:rFonts w:ascii="Times New Roman" w:hAnsi="Times New Roman"/>
          <w:szCs w:val="22"/>
          <w:lang w:val="en-US"/>
        </w:rPr>
        <w:t xml:space="preserve">III</w:t>
      </w:r>
      <w:r>
        <w:rPr>
          <w:rFonts w:ascii="Times New Roman" w:hAnsi="Times New Roman"/>
          <w:szCs w:val="22"/>
        </w:rPr>
        <w:t xml:space="preserve">, пункты 3.1.1, 3.1.2, 3.1.3, 3.2.2, 3.2.3</w:t>
      </w:r>
      <w:r/>
    </w:p>
  </w:footnote>
  <w:footnote w:id="6">
    <w:p>
      <w:pPr>
        <w:pStyle w:val="758"/>
        <w:jc w:val="both"/>
        <w:rPr>
          <w:rFonts w:ascii="Times New Roman" w:hAnsi="Times New Roman"/>
          <w:szCs w:val="22"/>
        </w:rPr>
      </w:pPr>
      <w:r>
        <w:rPr>
          <w:rStyle w:val="760"/>
        </w:rPr>
        <w:footnoteRef/>
      </w:r>
      <w:r>
        <w:t xml:space="preserve"> </w:t>
      </w:r>
      <w:r>
        <w:rPr>
          <w:rFonts w:ascii="Times New Roman" w:hAnsi="Times New Roman"/>
          <w:szCs w:val="22"/>
        </w:rPr>
        <w:t xml:space="preserve">Методические рекомендации по порядку и фо</w:t>
      </w:r>
      <w:r>
        <w:rPr>
          <w:rFonts w:ascii="Times New Roman" w:hAnsi="Times New Roman"/>
          <w:szCs w:val="22"/>
        </w:rPr>
        <w:t xml:space="preserve">рмам диагностики профессиональных дефицитов педагогических работников и управленческих кадров образовательных организаций с возможностью получения индивидуальных планов, утв. распоряжением Министерства просвещения Российской Федерации от 27.08.2021 № Р-201</w:t>
      </w:r>
      <w:r>
        <w:rPr>
          <w:rFonts w:ascii="Times New Roman" w:hAnsi="Times New Roman"/>
          <w:szCs w:val="22"/>
        </w:rPr>
      </w:r>
    </w:p>
    <w:p>
      <w:pPr>
        <w:pStyle w:val="758"/>
        <w:jc w:val="both"/>
      </w:pPr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6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54"/>
    <w:next w:val="75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55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54"/>
    <w:next w:val="75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55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54"/>
    <w:next w:val="75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55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54"/>
    <w:next w:val="75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55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54"/>
    <w:next w:val="75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5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54"/>
    <w:next w:val="75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55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54"/>
    <w:next w:val="75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5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54"/>
    <w:next w:val="75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5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54"/>
    <w:next w:val="75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5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54"/>
    <w:next w:val="75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55"/>
    <w:link w:val="34"/>
    <w:uiPriority w:val="10"/>
    <w:rPr>
      <w:sz w:val="48"/>
      <w:szCs w:val="48"/>
    </w:rPr>
  </w:style>
  <w:style w:type="paragraph" w:styleId="36">
    <w:name w:val="Subtitle"/>
    <w:basedOn w:val="754"/>
    <w:next w:val="75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5"/>
    <w:link w:val="36"/>
    <w:uiPriority w:val="11"/>
    <w:rPr>
      <w:sz w:val="24"/>
      <w:szCs w:val="24"/>
    </w:rPr>
  </w:style>
  <w:style w:type="paragraph" w:styleId="38">
    <w:name w:val="Quote"/>
    <w:basedOn w:val="754"/>
    <w:next w:val="75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54"/>
    <w:next w:val="75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5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755"/>
    <w:link w:val="42"/>
    <w:uiPriority w:val="99"/>
  </w:style>
  <w:style w:type="character" w:styleId="45">
    <w:name w:val="Footer Char"/>
    <w:basedOn w:val="755"/>
    <w:link w:val="763"/>
    <w:uiPriority w:val="99"/>
  </w:style>
  <w:style w:type="paragraph" w:styleId="46">
    <w:name w:val="Caption"/>
    <w:basedOn w:val="754"/>
    <w:next w:val="75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63"/>
    <w:uiPriority w:val="99"/>
  </w:style>
  <w:style w:type="table" w:styleId="48">
    <w:name w:val="Table Grid"/>
    <w:basedOn w:val="75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7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758"/>
    <w:uiPriority w:val="99"/>
    <w:rPr>
      <w:sz w:val="18"/>
    </w:rPr>
  </w:style>
  <w:style w:type="paragraph" w:styleId="178">
    <w:name w:val="endnote text"/>
    <w:basedOn w:val="75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55"/>
    <w:uiPriority w:val="99"/>
    <w:semiHidden/>
    <w:unhideWhenUsed/>
    <w:rPr>
      <w:vertAlign w:val="superscript"/>
    </w:rPr>
  </w:style>
  <w:style w:type="paragraph" w:styleId="181">
    <w:name w:val="toc 1"/>
    <w:basedOn w:val="754"/>
    <w:next w:val="75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54"/>
    <w:next w:val="75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54"/>
    <w:next w:val="75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54"/>
    <w:next w:val="75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54"/>
    <w:next w:val="75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54"/>
    <w:next w:val="75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54"/>
    <w:next w:val="75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54"/>
    <w:next w:val="75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54"/>
    <w:next w:val="75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54"/>
    <w:next w:val="754"/>
    <w:uiPriority w:val="99"/>
    <w:unhideWhenUsed/>
    <w:pPr>
      <w:spacing w:after="0" w:afterAutospacing="0"/>
    </w:pPr>
  </w:style>
  <w:style w:type="paragraph" w:styleId="754" w:default="1">
    <w:name w:val="Normal"/>
    <w:qFormat/>
  </w:style>
  <w:style w:type="character" w:styleId="755" w:default="1">
    <w:name w:val="Default Paragraph Font"/>
    <w:uiPriority w:val="1"/>
    <w:semiHidden/>
    <w:unhideWhenUsed/>
  </w:style>
  <w:style w:type="table" w:styleId="7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7" w:default="1">
    <w:name w:val="No List"/>
    <w:uiPriority w:val="99"/>
    <w:semiHidden/>
    <w:unhideWhenUsed/>
  </w:style>
  <w:style w:type="paragraph" w:styleId="758">
    <w:name w:val="footnote text"/>
    <w:basedOn w:val="754"/>
    <w:link w:val="759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759" w:customStyle="1">
    <w:name w:val="Текст сноски Знак"/>
    <w:basedOn w:val="755"/>
    <w:link w:val="758"/>
    <w:uiPriority w:val="99"/>
    <w:semiHidden/>
    <w:rPr>
      <w:sz w:val="20"/>
      <w:szCs w:val="20"/>
    </w:rPr>
  </w:style>
  <w:style w:type="character" w:styleId="760">
    <w:name w:val="footnote reference"/>
    <w:basedOn w:val="755"/>
    <w:uiPriority w:val="99"/>
    <w:semiHidden/>
    <w:unhideWhenUsed/>
    <w:rPr>
      <w:vertAlign w:val="superscript"/>
    </w:rPr>
  </w:style>
  <w:style w:type="paragraph" w:styleId="761">
    <w:name w:val="List Paragraph"/>
    <w:basedOn w:val="754"/>
    <w:uiPriority w:val="34"/>
    <w:qFormat/>
    <w:pPr>
      <w:contextualSpacing/>
      <w:ind w:left="720"/>
    </w:pPr>
  </w:style>
  <w:style w:type="character" w:styleId="762">
    <w:name w:val="Hyperlink"/>
    <w:uiPriority w:val="99"/>
    <w:unhideWhenUsed/>
    <w:rPr>
      <w:color w:val="0000ff"/>
      <w:u w:val="single"/>
    </w:rPr>
  </w:style>
  <w:style w:type="paragraph" w:styleId="763">
    <w:name w:val="Footer"/>
    <w:basedOn w:val="754"/>
    <w:link w:val="76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64" w:customStyle="1">
    <w:name w:val="Нижний колонтитул Знак"/>
    <w:basedOn w:val="755"/>
    <w:link w:val="763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s://fg.resh.edu.ru" TargetMode="External"/><Relationship Id="rId11" Type="http://schemas.openxmlformats.org/officeDocument/2006/relationships/hyperlink" Target="http://gimcro.edu.murmansk.ru/images/plans/metod-2022.pdf" TargetMode="External"/><Relationship Id="rId12" Type="http://schemas.openxmlformats.org/officeDocument/2006/relationships/hyperlink" Target="https://goo.su/IHmJR6v" TargetMode="External"/><Relationship Id="rId13" Type="http://schemas.openxmlformats.org/officeDocument/2006/relationships/hyperlink" Target="https://goo.su/Kxc7i" TargetMode="External"/><Relationship Id="rId14" Type="http://schemas.openxmlformats.org/officeDocument/2006/relationships/hyperlink" Target="https://www.xn--80agteo2d4b.xn--p1ai/wp-content/uploads/2022/01/rasporyazhenie-pravitelstva-rf-ot-31.12.2019-n-3273-r-red.-o.pdf" TargetMode="External"/><Relationship Id="rId15" Type="http://schemas.openxmlformats.org/officeDocument/2006/relationships/hyperlink" Target="https://school3.kchr.eduru.ru/media/2020/02/11/1250875158/Profstandart_Pedagog.pd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8</cp:revision>
  <dcterms:created xsi:type="dcterms:W3CDTF">2023-06-11T09:50:00Z</dcterms:created>
  <dcterms:modified xsi:type="dcterms:W3CDTF">2023-10-10T08:18:29Z</dcterms:modified>
</cp:coreProperties>
</file>