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Соколова Светлана Николаевна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директор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Шекланова Елизавета Борисовна,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андидат технических наук, учитель физики и математики, 1 категори</w:t>
      </w:r>
      <w:r>
        <w:rPr>
          <w:rFonts w:ascii="Times New Roman" w:hAnsi="Times New Roman" w:cs="Times New Roman"/>
          <w:sz w:val="24"/>
          <w:szCs w:val="24"/>
        </w:rPr>
        <w:t xml:space="preserve">я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Государственное бюджетное общеобразовательное учреждение средняя общеобразовательная школа №368 с углубленным изучением английского языка Фрунзенского района Санкт-Петербурга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Модель внутришкольной системы непрерывного профессионального развития</w:t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left="680" w:right="680"/>
        <w:jc w:val="both"/>
        <w:spacing w:before="240" w:after="24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Актуальные социально-экономические условия, ускоренные процессы информатизации общества обусловили формирование потребности государства в подготовке педагогических кадров нового поколения.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В данной статье рассматривается разработанная и применяемая в ГБОУ школа № 368 Фрунзенского района Санкт-Петербурга модель внутришкольной системы непрерывного профессионального развития педагога. </w:t>
      </w:r>
      <w:r>
        <w:rPr>
          <w:rFonts w:ascii="Times New Roman" w:hAnsi="Times New Roman" w:cs="Times New Roman"/>
          <w:i/>
          <w:iCs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Современный мир, развивающийся стремительно во всех направлениях, требует такого же быстрого развития и от всех сфер человеческой деятельности. Не исключением является и сфера образования.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едагогу</w:t>
      </w:r>
      <w:r>
        <w:rPr>
          <w:rFonts w:ascii="Times New Roman" w:hAnsi="Times New Roman" w:cs="Times New Roman"/>
          <w:sz w:val="24"/>
          <w:szCs w:val="24"/>
        </w:rPr>
        <w:t xml:space="preserve"> необходимо учитывать огромное количество внешних факторов, предъявляющих системе образования в целом принципиально новые требования</w:t>
      </w:r>
      <w:r>
        <w:rPr>
          <w:rFonts w:ascii="Times New Roman" w:hAnsi="Times New Roman" w:cs="Times New Roman"/>
          <w:sz w:val="24"/>
          <w:szCs w:val="24"/>
        </w:rPr>
        <w:t xml:space="preserve"> (1). </w:t>
      </w:r>
      <w:r>
        <w:rPr>
          <w:rFonts w:ascii="Times New Roman" w:hAnsi="Times New Roman" w:cs="Times New Roman"/>
          <w:sz w:val="24"/>
          <w:szCs w:val="24"/>
        </w:rPr>
        <w:t xml:space="preserve">Различные</w:t>
      </w:r>
      <w:r>
        <w:rPr>
          <w:rFonts w:ascii="Times New Roman" w:hAnsi="Times New Roman" w:cs="Times New Roman"/>
          <w:sz w:val="24"/>
          <w:szCs w:val="24"/>
        </w:rPr>
        <w:t xml:space="preserve"> ученые (</w:t>
      </w:r>
      <w:r>
        <w:rPr>
          <w:rFonts w:ascii="Times New Roman" w:hAnsi="Times New Roman" w:cs="Times New Roman"/>
          <w:sz w:val="24"/>
          <w:szCs w:val="24"/>
        </w:rPr>
        <w:t xml:space="preserve">Р. Уайт, Дж. Равен, Э.Ф. Зеер, А.К. Марков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А.М. Новикова, Г.С. Трофимов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, Г. Бернгард, и др</w:t>
      </w:r>
      <w:r>
        <w:rPr>
          <w:rFonts w:ascii="Times New Roman" w:hAnsi="Times New Roman" w:cs="Times New Roman"/>
          <w:sz w:val="24"/>
          <w:szCs w:val="24"/>
        </w:rPr>
        <w:t xml:space="preserve">.) </w:t>
      </w:r>
      <w:r>
        <w:rPr>
          <w:rFonts w:ascii="Times New Roman" w:hAnsi="Times New Roman" w:cs="Times New Roman"/>
          <w:sz w:val="24"/>
          <w:szCs w:val="24"/>
        </w:rPr>
        <w:t xml:space="preserve">серьезно исследуют вопрос профессиональной компетентности с середины 20 века</w:t>
      </w:r>
      <w:r>
        <w:rPr>
          <w:rFonts w:ascii="Times New Roman" w:hAnsi="Times New Roman" w:cs="Times New Roman"/>
          <w:sz w:val="24"/>
          <w:szCs w:val="24"/>
        </w:rPr>
        <w:t xml:space="preserve">. Например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Дж. Равен</w:t>
      </w:r>
      <w:r>
        <w:rPr>
          <w:rFonts w:ascii="Times New Roman" w:hAnsi="Times New Roman" w:cs="Times New Roman"/>
          <w:sz w:val="24"/>
          <w:szCs w:val="24"/>
        </w:rPr>
        <w:t xml:space="preserve"> пишет: «</w:t>
      </w:r>
      <w:r>
        <w:rPr>
          <w:rFonts w:ascii="Times New Roman" w:hAnsi="Times New Roman" w:cs="Times New Roman"/>
          <w:sz w:val="24"/>
          <w:szCs w:val="24"/>
        </w:rPr>
        <w:t xml:space="preserve">компетентность – это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такое явление, которое состоит из большого числа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компонентов, многие из которых относительно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независимы друг от друга, ... некоторые компоненты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относятся скорее к когнитивной сфере, а другие –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эмоциональной, ... эти компоненты могут заменять друг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друга в качестве составляющих эффективного поведения»</w:t>
      </w:r>
      <w:r>
        <w:rPr>
          <w:rFonts w:ascii="Times New Roman" w:hAnsi="Times New Roman" w:cs="Times New Roman"/>
          <w:sz w:val="24"/>
          <w:szCs w:val="24"/>
        </w:rPr>
        <w:t xml:space="preserve">. А по мнению В.А. Сласте</w:t>
      </w:r>
      <w:r>
        <w:rPr>
          <w:rFonts w:ascii="Times New Roman" w:hAnsi="Times New Roman" w:cs="Times New Roman"/>
          <w:sz w:val="24"/>
          <w:szCs w:val="24"/>
        </w:rPr>
        <w:t xml:space="preserve">н</w:t>
      </w:r>
      <w:r>
        <w:rPr>
          <w:rFonts w:ascii="Times New Roman" w:hAnsi="Times New Roman" w:cs="Times New Roman"/>
          <w:sz w:val="24"/>
          <w:szCs w:val="24"/>
        </w:rPr>
        <w:t xml:space="preserve">ина: « </w:t>
      </w:r>
      <w:r>
        <w:rPr>
          <w:rFonts w:ascii="Times New Roman" w:hAnsi="Times New Roman" w:cs="Times New Roman"/>
          <w:sz w:val="24"/>
          <w:szCs w:val="24"/>
        </w:rPr>
        <w:t xml:space="preserve">...единство теоретической и практической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готовности и способности личности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осуществлять профессиональную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деятельность»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z w:val="24"/>
          <w:szCs w:val="24"/>
        </w:rPr>
        <w:t xml:space="preserve">опреки неоднозначности понятия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профессиональная компетентность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важно создать такие инструменты профессионального развития, которые помогут педагогу повысить активность, мобильность, </w:t>
      </w:r>
      <w:r>
        <w:rPr>
          <w:rFonts w:ascii="Times New Roman" w:hAnsi="Times New Roman" w:cs="Times New Roman"/>
          <w:sz w:val="24"/>
          <w:szCs w:val="24"/>
        </w:rPr>
        <w:t xml:space="preserve">помогут </w:t>
      </w:r>
      <w:r>
        <w:rPr>
          <w:rFonts w:ascii="Times New Roman" w:hAnsi="Times New Roman" w:cs="Times New Roman"/>
          <w:sz w:val="24"/>
          <w:szCs w:val="24"/>
        </w:rPr>
        <w:t xml:space="preserve">осознать свои профессиональные цели и возможности и без боязни использовать инновационные технологии в своей деятельности.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Государственное бюджетное общеобразовательное учреждение средняя 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бщеобразовательная школа №368 с углубленным изучением английского языка Фрунзенского района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статусе Федеральной инновационной площадки </w:t>
      </w:r>
      <w:r>
        <w:rPr>
          <w:rFonts w:ascii="Times New Roman" w:hAnsi="Times New Roman" w:cs="Times New Roman"/>
          <w:sz w:val="24"/>
          <w:szCs w:val="24"/>
        </w:rPr>
        <w:t xml:space="preserve">с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сентября 2021 года </w:t>
      </w:r>
      <w:r>
        <w:rPr>
          <w:rFonts w:ascii="Times New Roman" w:hAnsi="Times New Roman" w:cs="Times New Roman"/>
          <w:sz w:val="24"/>
          <w:szCs w:val="24"/>
        </w:rPr>
        <w:t xml:space="preserve">реализ</w:t>
      </w:r>
      <w:r>
        <w:rPr>
          <w:rFonts w:ascii="Times New Roman" w:hAnsi="Times New Roman" w:cs="Times New Roman"/>
          <w:sz w:val="24"/>
          <w:szCs w:val="24"/>
        </w:rPr>
        <w:t xml:space="preserve">ует</w:t>
      </w:r>
      <w:r>
        <w:rPr>
          <w:rFonts w:ascii="Times New Roman" w:hAnsi="Times New Roman" w:cs="Times New Roman"/>
          <w:sz w:val="24"/>
          <w:szCs w:val="24"/>
        </w:rPr>
        <w:t xml:space="preserve"> инновационн</w:t>
      </w:r>
      <w:r>
        <w:rPr>
          <w:rFonts w:ascii="Times New Roman" w:hAnsi="Times New Roman" w:cs="Times New Roman"/>
          <w:sz w:val="24"/>
          <w:szCs w:val="24"/>
        </w:rPr>
        <w:t xml:space="preserve">ый</w:t>
      </w:r>
      <w:r>
        <w:rPr>
          <w:rFonts w:ascii="Times New Roman" w:hAnsi="Times New Roman" w:cs="Times New Roman"/>
          <w:sz w:val="24"/>
          <w:szCs w:val="24"/>
        </w:rPr>
        <w:t xml:space="preserve"> проект по теме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«Модель внутришкольной системы непрерывного профессионального развития педагога» (далее – Модель)</w:t>
      </w:r>
      <w:r>
        <w:rPr>
          <w:rFonts w:ascii="Times New Roman" w:hAnsi="Times New Roman" w:cs="Times New Roman"/>
          <w:sz w:val="24"/>
          <w:szCs w:val="24"/>
        </w:rPr>
        <w:t xml:space="preserve">. Правовыми </w:t>
      </w:r>
      <w:r>
        <w:rPr>
          <w:rFonts w:ascii="Times New Roman" w:hAnsi="Times New Roman" w:cs="Times New Roman"/>
          <w:sz w:val="24"/>
          <w:szCs w:val="24"/>
        </w:rPr>
        <w:t xml:space="preserve">основания</w:t>
      </w:r>
      <w:r>
        <w:rPr>
          <w:rFonts w:ascii="Times New Roman" w:hAnsi="Times New Roman" w:cs="Times New Roman"/>
          <w:sz w:val="24"/>
          <w:szCs w:val="24"/>
        </w:rPr>
        <w:t xml:space="preserve">ми</w:t>
      </w:r>
      <w:r>
        <w:rPr>
          <w:rFonts w:ascii="Times New Roman" w:hAnsi="Times New Roman" w:cs="Times New Roman"/>
          <w:sz w:val="24"/>
          <w:szCs w:val="24"/>
        </w:rPr>
        <w:t xml:space="preserve"> создания </w:t>
      </w:r>
      <w:r>
        <w:rPr>
          <w:rFonts w:ascii="Times New Roman" w:hAnsi="Times New Roman" w:cs="Times New Roman"/>
          <w:sz w:val="24"/>
          <w:szCs w:val="24"/>
        </w:rPr>
        <w:t xml:space="preserve">М</w:t>
      </w:r>
      <w:r>
        <w:rPr>
          <w:rFonts w:ascii="Times New Roman" w:hAnsi="Times New Roman" w:cs="Times New Roman"/>
          <w:sz w:val="24"/>
          <w:szCs w:val="24"/>
        </w:rPr>
        <w:t xml:space="preserve">одели </w:t>
      </w:r>
      <w:r>
        <w:rPr>
          <w:rFonts w:ascii="Times New Roman" w:hAnsi="Times New Roman" w:cs="Times New Roman"/>
          <w:sz w:val="24"/>
          <w:szCs w:val="24"/>
        </w:rPr>
        <w:t xml:space="preserve">являются </w:t>
      </w:r>
      <w:r>
        <w:rPr>
          <w:rFonts w:ascii="Times New Roman" w:hAnsi="Times New Roman" w:cs="Times New Roman"/>
          <w:sz w:val="24"/>
          <w:szCs w:val="24"/>
        </w:rPr>
        <w:t xml:space="preserve">Фе</w:t>
      </w:r>
      <w:r>
        <w:rPr>
          <w:rFonts w:ascii="Times New Roman" w:hAnsi="Times New Roman" w:cs="Times New Roman"/>
          <w:sz w:val="24"/>
          <w:szCs w:val="24"/>
        </w:rPr>
        <w:t xml:space="preserve">деральны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 xml:space="preserve">ы, указы Президента, постановления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распоряжения Правительства Российской Федерации и Санкт-Петербурга (</w:t>
      </w:r>
      <w:r>
        <w:rPr>
          <w:rFonts w:ascii="Times New Roman" w:hAnsi="Times New Roman" w:cs="Times New Roman"/>
          <w:sz w:val="24"/>
          <w:szCs w:val="24"/>
        </w:rPr>
        <w:t xml:space="preserve">4, 5, </w:t>
      </w:r>
      <w:r>
        <w:rPr>
          <w:rFonts w:ascii="Times New Roman" w:hAnsi="Times New Roman" w:cs="Times New Roman"/>
          <w:sz w:val="24"/>
          <w:szCs w:val="24"/>
        </w:rPr>
        <w:t xml:space="preserve">6, </w:t>
      </w:r>
      <w:r>
        <w:rPr>
          <w:rFonts w:ascii="Times New Roman" w:hAnsi="Times New Roman" w:cs="Times New Roman"/>
          <w:sz w:val="24"/>
          <w:szCs w:val="24"/>
        </w:rPr>
        <w:t xml:space="preserve">7, 8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Саморазвитие, наработанный педагогом практический опыт и курсы повышения квалификации – самые очевидные пути профессионального развития педагога. Однако </w:t>
      </w:r>
      <w:r>
        <w:rPr>
          <w:rFonts w:ascii="Times New Roman" w:hAnsi="Times New Roman" w:cs="Times New Roman"/>
          <w:sz w:val="24"/>
          <w:szCs w:val="24"/>
        </w:rPr>
        <w:t xml:space="preserve">постоянное </w:t>
      </w:r>
      <w:r>
        <w:rPr>
          <w:rFonts w:ascii="Times New Roman" w:hAnsi="Times New Roman" w:cs="Times New Roman"/>
          <w:sz w:val="24"/>
          <w:szCs w:val="24"/>
        </w:rPr>
        <w:t xml:space="preserve">прохождение курсов</w:t>
      </w:r>
      <w:r>
        <w:rPr>
          <w:rFonts w:ascii="Times New Roman" w:hAnsi="Times New Roman" w:cs="Times New Roman"/>
          <w:sz w:val="24"/>
          <w:szCs w:val="24"/>
        </w:rPr>
        <w:t xml:space="preserve"> за пределами своей образовательной организации далеко не всегда способно улучшить качество образовательных результатов.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Современная модель внутришкольной </w:t>
      </w:r>
      <w:r>
        <w:rPr>
          <w:rFonts w:ascii="Times New Roman" w:hAnsi="Times New Roman" w:cs="Times New Roman"/>
          <w:sz w:val="24"/>
          <w:szCs w:val="24"/>
        </w:rPr>
        <w:t xml:space="preserve">системы непрерывного профессионального развития должна учитывать современные тенденции и вызовы в образовательной среде: смену парадигм в образовании, повсеместную цифровизацию, использование проектных технологий, развитие концепции непрерывного обучения. </w:t>
      </w:r>
      <w:r>
        <w:rPr>
          <w:rFonts w:ascii="Times New Roman" w:hAnsi="Times New Roman" w:cs="Times New Roman"/>
          <w:sz w:val="24"/>
          <w:szCs w:val="24"/>
        </w:rPr>
        <w:t xml:space="preserve">Непрерывное образование и пожизненное обучение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lifelong learning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лежит в основе </w:t>
      </w:r>
      <w:r>
        <w:rPr>
          <w:rFonts w:ascii="Times New Roman" w:hAnsi="Times New Roman" w:cs="Times New Roman"/>
          <w:sz w:val="24"/>
          <w:szCs w:val="24"/>
        </w:rPr>
        <w:t xml:space="preserve">разработанной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</w:t>
      </w:r>
      <w:r>
        <w:rPr>
          <w:rFonts w:ascii="Times New Roman" w:hAnsi="Times New Roman" w:cs="Times New Roman"/>
          <w:sz w:val="24"/>
          <w:szCs w:val="24"/>
        </w:rPr>
        <w:t xml:space="preserve">одели</w:t>
      </w:r>
      <w:r>
        <w:rPr>
          <w:rFonts w:ascii="Times New Roman" w:hAnsi="Times New Roman" w:cs="Times New Roman"/>
          <w:sz w:val="24"/>
          <w:szCs w:val="24"/>
        </w:rPr>
        <w:t xml:space="preserve">. В рамках работы с Моделью </w:t>
      </w:r>
      <w:r>
        <w:rPr>
          <w:rFonts w:ascii="Times New Roman" w:hAnsi="Times New Roman" w:cs="Times New Roman"/>
          <w:sz w:val="24"/>
          <w:szCs w:val="24"/>
        </w:rPr>
        <w:t xml:space="preserve">педагоги имеют возможность </w:t>
      </w:r>
      <w:r>
        <w:rPr>
          <w:rFonts w:ascii="Times New Roman" w:hAnsi="Times New Roman" w:cs="Times New Roman"/>
          <w:sz w:val="24"/>
          <w:szCs w:val="24"/>
        </w:rPr>
        <w:t xml:space="preserve">обновлять, дополнять и применять ранее приобретенные знания и умения,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постоянно расширять свой кругозор</w:t>
      </w:r>
      <w:r>
        <w:rPr>
          <w:rFonts w:ascii="Times New Roman" w:hAnsi="Times New Roman" w:cs="Times New Roman"/>
          <w:sz w:val="24"/>
          <w:szCs w:val="24"/>
        </w:rPr>
        <w:t xml:space="preserve"> без отрыва от образовательного процесса.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Рассматриваемая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Модель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является корпоративной</w:t>
      </w:r>
      <w:r>
        <w:rPr>
          <w:rFonts w:ascii="Times New Roman" w:hAnsi="Times New Roman" w:cs="Times New Roman"/>
          <w:sz w:val="24"/>
          <w:szCs w:val="24"/>
        </w:rPr>
        <w:t xml:space="preserve"> системой горизонтального образования педагогов и </w:t>
      </w:r>
      <w:r>
        <w:rPr>
          <w:rFonts w:ascii="Times New Roman" w:hAnsi="Times New Roman" w:cs="Times New Roman"/>
          <w:sz w:val="24"/>
          <w:szCs w:val="24"/>
        </w:rPr>
        <w:t xml:space="preserve">включает в себя четыре</w:t>
      </w:r>
      <w:r>
        <w:rPr>
          <w:rFonts w:ascii="Times New Roman" w:hAnsi="Times New Roman" w:cs="Times New Roman"/>
          <w:sz w:val="24"/>
          <w:szCs w:val="24"/>
        </w:rPr>
        <w:t xml:space="preserve"> взаимодействующие подсистемы: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технологическую, организационную, ресурсную, целевую.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Координация между подсистемами осуществляется через и</w:t>
      </w:r>
      <w:r>
        <w:rPr>
          <w:rFonts w:ascii="Times New Roman" w:hAnsi="Times New Roman" w:cs="Times New Roman"/>
          <w:sz w:val="24"/>
          <w:szCs w:val="24"/>
        </w:rPr>
        <w:t xml:space="preserve">нновационный продукт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«Электронный органайзер учителя «ИМИДЖ-РОСТ»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11" w:tooltip="https://368razvitie.ru/" w:history="1">
        <w:r>
          <w:rPr>
            <w:rStyle w:val="701"/>
            <w:rFonts w:ascii="Times New Roman" w:hAnsi="Times New Roman" w:cs="Times New Roman"/>
            <w:sz w:val="24"/>
            <w:szCs w:val="24"/>
          </w:rPr>
          <w:t xml:space="preserve">https://368razvitie.ru/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(далее – Органайзер)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Созданный Органайзер </w:t>
      </w:r>
      <w:r>
        <w:rPr>
          <w:rFonts w:ascii="Times New Roman" w:hAnsi="Times New Roman" w:cs="Times New Roman"/>
          <w:sz w:val="24"/>
          <w:szCs w:val="24"/>
        </w:rPr>
        <w:t xml:space="preserve">является средой, мотивирующей педагогов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профессиональному саморазвитию,</w:t>
      </w:r>
      <w:r>
        <w:rPr>
          <w:rFonts w:ascii="Times New Roman" w:hAnsi="Times New Roman" w:cs="Times New Roman"/>
          <w:sz w:val="24"/>
          <w:szCs w:val="24"/>
        </w:rPr>
        <w:t xml:space="preserve"> и позволяет п</w:t>
      </w:r>
      <w:r>
        <w:rPr>
          <w:rFonts w:ascii="Times New Roman" w:hAnsi="Times New Roman" w:cs="Times New Roman"/>
          <w:sz w:val="24"/>
          <w:szCs w:val="24"/>
        </w:rPr>
        <w:t xml:space="preserve">овысить эффективность работы методических объединений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мотивацию педагогов школы к профессиональному развитию путем постановки их в активную творческую и компетентную позицию в школьном сетевом профессиональном интерактивном сообществе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Рассмотрим каждую подсистему предлагаемой Модели.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Организационная подсистема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включает </w:t>
      </w:r>
      <w:r>
        <w:rPr>
          <w:rFonts w:ascii="Times New Roman" w:hAnsi="Times New Roman" w:cs="Times New Roman"/>
          <w:sz w:val="24"/>
          <w:szCs w:val="24"/>
        </w:rPr>
        <w:t xml:space="preserve">совокупность нормативных локальных актов образовательной организации, которые регламентируют функционирование модели и позволяют управлять её развитием.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Цель данной подсистемы обеспечение условий для эффективного внедрения </w:t>
      </w:r>
      <w:r>
        <w:rPr>
          <w:rFonts w:ascii="Times New Roman" w:hAnsi="Times New Roman" w:cs="Times New Roman"/>
          <w:sz w:val="24"/>
          <w:szCs w:val="24"/>
        </w:rPr>
        <w:t xml:space="preserve">описываемой </w:t>
      </w:r>
      <w:r>
        <w:rPr>
          <w:rFonts w:ascii="Times New Roman" w:hAnsi="Times New Roman" w:cs="Times New Roman"/>
          <w:sz w:val="24"/>
          <w:szCs w:val="24"/>
        </w:rPr>
        <w:t xml:space="preserve">корпоративной </w:t>
      </w:r>
      <w:r>
        <w:rPr>
          <w:rFonts w:ascii="Times New Roman" w:hAnsi="Times New Roman" w:cs="Times New Roman"/>
          <w:sz w:val="24"/>
          <w:szCs w:val="24"/>
        </w:rPr>
        <w:t xml:space="preserve">М</w:t>
      </w:r>
      <w:r>
        <w:rPr>
          <w:rFonts w:ascii="Times New Roman" w:hAnsi="Times New Roman" w:cs="Times New Roman"/>
          <w:sz w:val="24"/>
          <w:szCs w:val="24"/>
        </w:rPr>
        <w:t xml:space="preserve">одели. Функции</w:t>
      </w:r>
      <w:r>
        <w:rPr>
          <w:rFonts w:ascii="Times New Roman" w:hAnsi="Times New Roman" w:cs="Times New Roman"/>
          <w:sz w:val="24"/>
          <w:szCs w:val="24"/>
        </w:rPr>
        <w:t xml:space="preserve"> подсистемы</w:t>
      </w:r>
      <w:r>
        <w:rPr>
          <w:rFonts w:ascii="Times New Roman" w:hAnsi="Times New Roman" w:cs="Times New Roman"/>
          <w:sz w:val="24"/>
          <w:szCs w:val="24"/>
        </w:rPr>
        <w:t xml:space="preserve">: разработка, апробация и внедрение технологий кадрового профессионального роста; обеспечение условий для профессиональной </w:t>
      </w:r>
      <w:r>
        <w:rPr>
          <w:rFonts w:ascii="Times New Roman" w:hAnsi="Times New Roman" w:cs="Times New Roman"/>
          <w:sz w:val="24"/>
          <w:szCs w:val="24"/>
        </w:rPr>
        <w:t xml:space="preserve">коммуникации педагогов и педагогических команд в школе, управление процессом и организационными вопросами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 обеспечения работы Модели.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67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202124"/>
          <w:sz w:val="28"/>
          <w:szCs w:val="28"/>
          <w:highlight w:val="whit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78729" cy="2621280"/>
                <wp:effectExtent l="0" t="0" r="8255" b="7620"/>
                <wp:docPr id="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115176" cy="2640091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399.90pt;height:206.40pt;mso-wrap-distance-left:0.00pt;mso-wrap-distance-top:0.00pt;mso-wrap-distance-right:0.00pt;mso-wrap-distance-bottom:0.00pt;">
                <v:path textboxrect="0,0,0,0"/>
                <v:imagedata r:id="rId12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Рисунок 1.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Схема модели внутришкольной системы </w:t>
        <w:br/>
        <w:t xml:space="preserve">непрерывного профессионального развития педагога</w:t>
      </w:r>
      <w:r>
        <w:rPr>
          <w:rFonts w:ascii="Times New Roman" w:hAnsi="Times New Roman" w:cs="Times New Roman"/>
          <w:i/>
          <w:iCs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Технологическая подсистема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объединяет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посредством Органайзера </w:t>
      </w:r>
      <w:r>
        <w:rPr>
          <w:rFonts w:ascii="Times New Roman" w:hAnsi="Times New Roman" w:cs="Times New Roman"/>
          <w:sz w:val="24"/>
          <w:szCs w:val="24"/>
        </w:rPr>
        <w:t xml:space="preserve">программы внутрикорпоративного обучения </w:t>
      </w:r>
      <w:r>
        <w:rPr>
          <w:rFonts w:ascii="Times New Roman" w:hAnsi="Times New Roman" w:cs="Times New Roman"/>
          <w:sz w:val="24"/>
          <w:szCs w:val="24"/>
        </w:rPr>
        <w:t xml:space="preserve">в различных видах: </w:t>
      </w:r>
      <w:r>
        <w:rPr>
          <w:rFonts w:ascii="Times New Roman" w:hAnsi="Times New Roman" w:cs="Times New Roman"/>
          <w:sz w:val="24"/>
          <w:szCs w:val="24"/>
        </w:rPr>
        <w:t xml:space="preserve">семинар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, мастер-класс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, стажиров</w:t>
      </w:r>
      <w:r>
        <w:rPr>
          <w:rFonts w:ascii="Times New Roman" w:hAnsi="Times New Roman" w:cs="Times New Roman"/>
          <w:sz w:val="24"/>
          <w:szCs w:val="24"/>
        </w:rPr>
        <w:t xml:space="preserve">ки</w:t>
      </w:r>
      <w:r>
        <w:rPr>
          <w:rFonts w:ascii="Times New Roman" w:hAnsi="Times New Roman" w:cs="Times New Roman"/>
          <w:sz w:val="24"/>
          <w:szCs w:val="24"/>
        </w:rPr>
        <w:t xml:space="preserve">, тематически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площад</w:t>
      </w:r>
      <w:r>
        <w:rPr>
          <w:rFonts w:ascii="Times New Roman" w:hAnsi="Times New Roman" w:cs="Times New Roman"/>
          <w:sz w:val="24"/>
          <w:szCs w:val="24"/>
        </w:rPr>
        <w:t xml:space="preserve">ки</w:t>
      </w:r>
      <w:r>
        <w:rPr>
          <w:rFonts w:ascii="Times New Roman" w:hAnsi="Times New Roman" w:cs="Times New Roman"/>
          <w:sz w:val="24"/>
          <w:szCs w:val="24"/>
        </w:rPr>
        <w:t xml:space="preserve">,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как в онлайн-, так и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офлайн-формат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Эта подсистема </w:t>
      </w:r>
      <w:r>
        <w:rPr>
          <w:rFonts w:ascii="Times New Roman" w:hAnsi="Times New Roman" w:cs="Times New Roman"/>
          <w:sz w:val="24"/>
          <w:szCs w:val="24"/>
        </w:rPr>
        <w:t xml:space="preserve">также </w:t>
      </w:r>
      <w:r>
        <w:rPr>
          <w:rFonts w:ascii="Times New Roman" w:hAnsi="Times New Roman" w:cs="Times New Roman"/>
          <w:sz w:val="24"/>
          <w:szCs w:val="24"/>
        </w:rPr>
        <w:t xml:space="preserve">отвечает за повышение эффективности работы методических объединений.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Целевая подсистема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содержит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систем</w:t>
      </w:r>
      <w:r>
        <w:rPr>
          <w:rFonts w:ascii="Times New Roman" w:hAnsi="Times New Roman" w:cs="Times New Roman"/>
          <w:sz w:val="24"/>
          <w:szCs w:val="24"/>
        </w:rPr>
        <w:t xml:space="preserve">у</w:t>
      </w:r>
      <w:r>
        <w:rPr>
          <w:rFonts w:ascii="Times New Roman" w:hAnsi="Times New Roman" w:cs="Times New Roman"/>
          <w:sz w:val="24"/>
          <w:szCs w:val="24"/>
        </w:rPr>
        <w:t xml:space="preserve"> мер, направленных на повышение активности педагога как субъекта открытой профессиональной среды. Переосмысление педагогом своих профессиональных установок </w:t>
      </w:r>
      <w:r>
        <w:rPr>
          <w:rFonts w:ascii="Times New Roman" w:hAnsi="Times New Roman" w:cs="Times New Roman"/>
          <w:sz w:val="24"/>
          <w:szCs w:val="24"/>
        </w:rPr>
        <w:t xml:space="preserve">ключевая задача данной подсистемы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В рамках целевой подсистемы </w:t>
      </w:r>
      <w:r>
        <w:rPr>
          <w:rFonts w:ascii="Times New Roman" w:hAnsi="Times New Roman" w:cs="Times New Roman"/>
          <w:sz w:val="24"/>
          <w:szCs w:val="24"/>
        </w:rPr>
        <w:t xml:space="preserve">функционируют</w:t>
      </w:r>
      <w:r>
        <w:rPr>
          <w:rFonts w:ascii="Times New Roman" w:hAnsi="Times New Roman" w:cs="Times New Roman"/>
          <w:sz w:val="24"/>
          <w:szCs w:val="24"/>
        </w:rPr>
        <w:t xml:space="preserve"> индивидуально-обра</w:t>
      </w:r>
      <w:r>
        <w:rPr>
          <w:rFonts w:ascii="Times New Roman" w:hAnsi="Times New Roman" w:cs="Times New Roman"/>
          <w:sz w:val="24"/>
          <w:szCs w:val="24"/>
        </w:rPr>
        <w:t xml:space="preserve">зовательная и командно-педагогическая структуры. Индивидуально-образовательная структура отвечает за индивидуальную работу педагогов в зависимости от выявленных профессиональных дефицитов. В основе лежит индивидуальная траектория профессионального развития</w:t>
      </w:r>
      <w:r>
        <w:rPr>
          <w:rFonts w:ascii="Times New Roman" w:hAnsi="Times New Roman" w:cs="Times New Roman"/>
          <w:sz w:val="24"/>
          <w:szCs w:val="24"/>
        </w:rPr>
        <w:t xml:space="preserve">. О</w:t>
      </w:r>
      <w:r>
        <w:rPr>
          <w:rFonts w:ascii="Times New Roman" w:hAnsi="Times New Roman" w:cs="Times New Roman"/>
          <w:sz w:val="24"/>
          <w:szCs w:val="24"/>
        </w:rPr>
        <w:t xml:space="preserve">на представляет собой целенаправленно проектируемую дифференцированную образовательную программу самообразования, которая разрабатывается и реализуется педагогом самостоятельно при осуществлении методического сопровождения.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Траектория профессионального развития учителя </w:t>
      </w:r>
      <w:r>
        <w:rPr>
          <w:rFonts w:ascii="Times New Roman" w:hAnsi="Times New Roman" w:cs="Times New Roman"/>
          <w:sz w:val="24"/>
          <w:szCs w:val="24"/>
        </w:rPr>
        <w:t xml:space="preserve">создается</w:t>
      </w:r>
      <w:r>
        <w:rPr>
          <w:rFonts w:ascii="Times New Roman" w:hAnsi="Times New Roman" w:cs="Times New Roman"/>
          <w:sz w:val="24"/>
          <w:szCs w:val="24"/>
        </w:rPr>
        <w:t xml:space="preserve"> с помощью разработанной карты развития компетенций педагогов школы на основе самооценки, диагностики по симптомам, результатов опроса обучающихся и родителей и диагностики по результату. Индивидуальный профиль профессионального развития определяется как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развитие проблемного профиля на основе ресурсного профиля (сильных сторон)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является основой для определения индивидуальной методической темы каждого педагога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Т</w:t>
      </w:r>
      <w:r>
        <w:rPr>
          <w:rFonts w:ascii="Times New Roman" w:hAnsi="Times New Roman" w:cs="Times New Roman"/>
          <w:sz w:val="24"/>
          <w:szCs w:val="24"/>
        </w:rPr>
        <w:t xml:space="preserve">ема </w:t>
      </w:r>
      <w:r>
        <w:rPr>
          <w:rFonts w:ascii="Times New Roman" w:hAnsi="Times New Roman" w:cs="Times New Roman"/>
          <w:sz w:val="24"/>
          <w:szCs w:val="24"/>
        </w:rPr>
        <w:t xml:space="preserve">должна лежать в поле интересов педагога, направлена на развитие </w:t>
      </w:r>
      <w:r>
        <w:rPr>
          <w:rFonts w:ascii="Times New Roman" w:hAnsi="Times New Roman" w:cs="Times New Roman"/>
          <w:sz w:val="24"/>
          <w:szCs w:val="24"/>
        </w:rPr>
        <w:t xml:space="preserve">проблем</w:t>
      </w:r>
      <w:r>
        <w:rPr>
          <w:rFonts w:ascii="Times New Roman" w:hAnsi="Times New Roman" w:cs="Times New Roman"/>
          <w:sz w:val="24"/>
          <w:szCs w:val="24"/>
        </w:rPr>
        <w:t xml:space="preserve">ного профиля и наращивания потенциала, основываться на сильных сторонах его профессиональной деятельности. Таким образом, цель проекта каждого педагога школы — это развитие самого себя как профессионала. Бланк оценочных материалов для диагностики дефицитов</w:t>
      </w:r>
      <w:r>
        <w:rPr>
          <w:rFonts w:ascii="Times New Roman" w:hAnsi="Times New Roman" w:cs="Times New Roman"/>
          <w:sz w:val="24"/>
          <w:szCs w:val="24"/>
        </w:rPr>
        <w:t xml:space="preserve"> (карта </w:t>
      </w:r>
      <w:r>
        <w:rPr>
          <w:rFonts w:ascii="Times New Roman" w:hAnsi="Times New Roman" w:cs="Times New Roman"/>
          <w:sz w:val="24"/>
          <w:szCs w:val="24"/>
        </w:rPr>
        <w:t xml:space="preserve">развития компетенций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 можно найти на странице «Диагностика» Органайзера - </w:t>
      </w:r>
      <w:hyperlink r:id="rId13" w:tooltip="https://368razvitie.ru/diagnost/" w:history="1">
        <w:r>
          <w:rPr>
            <w:rStyle w:val="701"/>
            <w:rFonts w:ascii="Times New Roman" w:hAnsi="Times New Roman" w:cs="Times New Roman"/>
            <w:sz w:val="24"/>
            <w:szCs w:val="24"/>
          </w:rPr>
          <w:t xml:space="preserve">https://368razviti</w:t>
        </w:r>
        <w:r>
          <w:rPr>
            <w:rStyle w:val="701"/>
            <w:rFonts w:ascii="Times New Roman" w:hAnsi="Times New Roman" w:cs="Times New Roman"/>
            <w:sz w:val="24"/>
            <w:szCs w:val="24"/>
          </w:rPr>
          <w:t xml:space="preserve">e</w:t>
        </w:r>
        <w:r>
          <w:rPr>
            <w:rStyle w:val="701"/>
            <w:rFonts w:ascii="Times New Roman" w:hAnsi="Times New Roman" w:cs="Times New Roman"/>
            <w:sz w:val="24"/>
            <w:szCs w:val="24"/>
          </w:rPr>
          <w:t xml:space="preserve">.ru/diagnost/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Одним из вспомогательных инструментов является система якорей карьеры. </w:t>
      </w:r>
      <w:r>
        <w:rPr>
          <w:rFonts w:ascii="Times New Roman" w:hAnsi="Times New Roman" w:cs="Times New Roman"/>
          <w:sz w:val="24"/>
          <w:szCs w:val="24"/>
        </w:rPr>
        <w:t xml:space="preserve">Карьерные ориентации, или «якоря карьеры»</w:t>
      </w:r>
      <w:r>
        <w:rPr>
          <w:rFonts w:ascii="Times New Roman" w:hAnsi="Times New Roman" w:cs="Times New Roman"/>
          <w:sz w:val="24"/>
          <w:szCs w:val="24"/>
        </w:rPr>
        <w:t xml:space="preserve"> по Э.Г. Шейну (1)</w:t>
      </w:r>
      <w:r>
        <w:rPr>
          <w:rFonts w:ascii="Times New Roman" w:hAnsi="Times New Roman" w:cs="Times New Roman"/>
          <w:sz w:val="24"/>
          <w:szCs w:val="24"/>
        </w:rPr>
        <w:t xml:space="preserve">, — это ценностные ориентации человека, формирующиеся в процессе его профессиональной самореализации.</w:t>
      </w:r>
      <w:r>
        <w:rPr>
          <w:rFonts w:ascii="Times New Roman" w:hAnsi="Times New Roman" w:cs="Times New Roman"/>
          <w:sz w:val="24"/>
          <w:szCs w:val="24"/>
        </w:rPr>
        <w:t xml:space="preserve"> Для диагностики карь</w:t>
      </w:r>
      <w:r>
        <w:rPr>
          <w:rFonts w:ascii="Times New Roman" w:hAnsi="Times New Roman" w:cs="Times New Roman"/>
          <w:sz w:val="24"/>
          <w:szCs w:val="24"/>
        </w:rPr>
        <w:t xml:space="preserve">ерных ориентаций педагога в рамках Модели выбрано 5 направлений: профессиональная компетентность, автономия, менеджмент, вызов, предпринимательство. Выявление карьерных приоритетов позволяет корректировать направления работы каждого сотрудника организации.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Опросник "Якоря карьеры" Э.Шейна</w:t>
      </w:r>
      <w:r>
        <w:rPr>
          <w:rFonts w:ascii="Times New Roman" w:hAnsi="Times New Roman" w:cs="Times New Roman"/>
          <w:sz w:val="24"/>
          <w:szCs w:val="24"/>
        </w:rPr>
        <w:t xml:space="preserve"> также можно найти </w:t>
      </w:r>
      <w:r>
        <w:rPr>
          <w:rFonts w:ascii="Times New Roman" w:hAnsi="Times New Roman" w:cs="Times New Roman"/>
          <w:sz w:val="24"/>
          <w:szCs w:val="24"/>
        </w:rPr>
        <w:t xml:space="preserve">на странице «Диагностика» Органайзера - </w:t>
      </w:r>
      <w:hyperlink r:id="rId14" w:tooltip="https://368razvitie.ru/diagnost/" w:history="1">
        <w:r>
          <w:rPr>
            <w:rStyle w:val="701"/>
            <w:rFonts w:ascii="Times New Roman" w:hAnsi="Times New Roman" w:cs="Times New Roman"/>
            <w:sz w:val="24"/>
            <w:szCs w:val="24"/>
          </w:rPr>
          <w:t xml:space="preserve">https://368razvitie.ru/diagnost/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35980" cy="3556167"/>
                <wp:effectExtent l="0" t="0" r="7620" b="6350"/>
                <wp:docPr id="2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5969374" cy="35761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67.40pt;height:280.01pt;mso-wrap-distance-left:0.00pt;mso-wrap-distance-top:0.00pt;mso-wrap-distance-right:0.00pt;mso-wrap-distance-bottom:0.0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Рисунок 2.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Компонентная схема карьерных ориентаций личности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п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о Э.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Шейну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к</w:t>
      </w:r>
      <w:r>
        <w:rPr>
          <w:rFonts w:ascii="Times New Roman" w:hAnsi="Times New Roman" w:cs="Times New Roman"/>
          <w:sz w:val="24"/>
          <w:szCs w:val="24"/>
        </w:rPr>
        <w:t xml:space="preserve">омандно-</w:t>
      </w:r>
      <w:r>
        <w:rPr>
          <w:rFonts w:ascii="Times New Roman" w:hAnsi="Times New Roman" w:cs="Times New Roman"/>
          <w:sz w:val="24"/>
          <w:szCs w:val="24"/>
        </w:rPr>
        <w:t xml:space="preserve">педагогической структуры выявление в коллективе </w:t>
      </w:r>
      <w:r>
        <w:rPr>
          <w:rFonts w:ascii="Times New Roman" w:hAnsi="Times New Roman" w:cs="Times New Roman"/>
          <w:sz w:val="24"/>
          <w:szCs w:val="24"/>
        </w:rPr>
        <w:t xml:space="preserve">групп педагогов, выбравших схожие методические темы</w:t>
      </w:r>
      <w:r>
        <w:rPr>
          <w:rFonts w:ascii="Times New Roman" w:hAnsi="Times New Roman" w:cs="Times New Roman"/>
          <w:sz w:val="24"/>
          <w:szCs w:val="24"/>
        </w:rPr>
        <w:t xml:space="preserve">. Каждая из сформированных групп </w:t>
      </w:r>
      <w:r>
        <w:rPr>
          <w:rFonts w:ascii="Times New Roman" w:hAnsi="Times New Roman" w:cs="Times New Roman"/>
          <w:sz w:val="24"/>
          <w:szCs w:val="24"/>
        </w:rPr>
        <w:t xml:space="preserve">изучает</w:t>
      </w:r>
      <w:r>
        <w:rPr>
          <w:rFonts w:ascii="Times New Roman" w:hAnsi="Times New Roman" w:cs="Times New Roman"/>
          <w:sz w:val="24"/>
          <w:szCs w:val="24"/>
        </w:rPr>
        <w:t xml:space="preserve"> проблемную тему, формально и неформально повыша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т квалификацию по этой теме, обсужда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т проблемные вопросы, готов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т совместные мастер-классы и другие мероприятия для коллег. В процессе совместной работы происходит “самоформирование” тьюторских </w:t>
      </w:r>
      <w:r>
        <w:rPr>
          <w:rFonts w:ascii="Times New Roman" w:hAnsi="Times New Roman" w:cs="Times New Roman"/>
          <w:sz w:val="24"/>
          <w:szCs w:val="24"/>
        </w:rPr>
        <w:t xml:space="preserve">групп, в которой каждый педагог-тьютор по выбранной теме для остальных коллег. Участвуя в корпоративной программе развития профессиональных компетенций педагоги-тьюторы развиваются сами, обучая других.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Последняя четвертая подсистема – ресурсная</w:t>
      </w:r>
      <w:r>
        <w:rPr>
          <w:rFonts w:ascii="Times New Roman" w:hAnsi="Times New Roman" w:cs="Times New Roman"/>
          <w:sz w:val="24"/>
          <w:szCs w:val="24"/>
        </w:rPr>
        <w:t xml:space="preserve">, включает в себя одну из важнейших составляющих рассматриваемой М</w:t>
      </w:r>
      <w:r>
        <w:rPr>
          <w:rFonts w:ascii="Times New Roman" w:hAnsi="Times New Roman" w:cs="Times New Roman"/>
          <w:sz w:val="24"/>
          <w:szCs w:val="24"/>
        </w:rPr>
        <w:t xml:space="preserve">одели 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sz w:val="24"/>
          <w:szCs w:val="24"/>
        </w:rPr>
        <w:t xml:space="preserve"> сетевое партнерство. Сетевое взаимодействия предусматривает организацию системы «коллегий</w:t>
      </w:r>
      <w:r>
        <w:rPr>
          <w:rFonts w:ascii="Times New Roman" w:hAnsi="Times New Roman" w:cs="Times New Roman"/>
          <w:sz w:val="24"/>
          <w:szCs w:val="24"/>
        </w:rPr>
        <w:t xml:space="preserve">» - сетевых элементов, включающих в совместную деятельность педагогов различных школ и учреждений дополнительного образования, обладающих высокими показателями развития профессиональных качеств и опытом успешной реализации эффективных образовательных практ</w:t>
      </w:r>
      <w:r>
        <w:rPr>
          <w:rFonts w:ascii="Times New Roman" w:hAnsi="Times New Roman" w:cs="Times New Roman"/>
          <w:sz w:val="24"/>
          <w:szCs w:val="24"/>
        </w:rPr>
        <w:t xml:space="preserve">ик. Работа таких педагогов отличается стремлением к постоянному повышению профессионального мастерства, но и высокой мотивацией к обмену опытом, готовностью к инновационному поведению в условиях динамично меняющегося пространства образовательных отношений.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Таблица 1.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Алгоритмическая модель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горизонтального </w:t>
      </w:r>
      <w:r>
        <w:rPr>
          <w:rFonts w:ascii="Times New Roman" w:hAnsi="Times New Roman" w:cs="Times New Roman"/>
          <w:i/>
          <w:iCs/>
          <w:sz w:val="24"/>
          <w:szCs w:val="24"/>
        </w:rPr>
        <w:br/>
        <w:t xml:space="preserve">непрерывного профессионального развития педагога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</w:r>
    </w:p>
    <w:tbl>
      <w:tblPr>
        <w:tblStyle w:val="699"/>
        <w:tblW w:w="9918" w:type="dxa"/>
        <w:tblInd w:w="0" w:type="dxa"/>
        <w:tblLook w:val="04A0" w:firstRow="1" w:lastRow="0" w:firstColumn="1" w:lastColumn="0" w:noHBand="0" w:noVBand="1"/>
      </w:tblPr>
      <w:tblGrid>
        <w:gridCol w:w="3397"/>
        <w:gridCol w:w="3261"/>
        <w:gridCol w:w="3260"/>
      </w:tblGrid>
      <w:tr>
        <w:trPr/>
        <w:tc>
          <w:tcPr>
            <w:tcW w:w="3397" w:type="dxa"/>
            <w:textDirection w:val="lrTb"/>
            <w:noWrap w:val="false"/>
          </w:tcPr>
          <w:p>
            <w:pPr>
              <w:pStyle w:val="688"/>
              <w:jc w:val="both"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Учитель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1" w:type="dxa"/>
            <w:textDirection w:val="lrTb"/>
            <w:noWrap w:val="false"/>
          </w:tcPr>
          <w:p>
            <w:pPr>
              <w:pStyle w:val="688"/>
              <w:jc w:val="both"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Методическое объединение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pStyle w:val="688"/>
              <w:jc w:val="both"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Администрация школы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W w:w="33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Регистрируется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рганайзере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16" w:tooltip="https://368razvitie.ru/" w:history="1">
              <w:r>
                <w:rPr>
                  <w:rStyle w:val="701"/>
                  <w:rFonts w:ascii="Times New Roman" w:hAnsi="Times New Roman" w:cs="Times New Roman"/>
                  <w:sz w:val="24"/>
                  <w:szCs w:val="24"/>
                </w:rPr>
                <w:t xml:space="preserve">https://368razvitie.ru/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становится участником профессионального школьного сообщества.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Разрабатывает видео-мастер-классы, методические материалы, уроки, мероприятия или занятия и публикует их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рганайзере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олучает отзывы коллег на свои разработки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рецензирует работы коллег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проходит диагностику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записывается на курсы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участвует в работе педагогической мастерской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составе методического объединения представляет свой опыт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работу педагогической мастерской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непрерывного профессионального развития педагога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 раз в месяц).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запись видео-мастер-классов.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Оказывает помощь педагогу в организации очных мастер-классов.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Помогает внедрять разработанные технологии, методики, приёмы в практику педагогической деятельности.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Помогает учителю определить профессиональные дефициты и разработать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образовательный маршрут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Управляет организацией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непрерывного профессионального развития педагога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Обеспечивает мониторинг результатов работы педагогической мастерской.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Обеспечивает нормативную базу для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рганайзера.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Обеспечивает работу интернет-платформы.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Взаимодействует с сетевыми партнерами.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Сетевое партнёрство с учреждениями высшего профессионального образован</w:t>
      </w:r>
      <w:r>
        <w:rPr>
          <w:rFonts w:ascii="Times New Roman" w:hAnsi="Times New Roman" w:cs="Times New Roman"/>
          <w:sz w:val="24"/>
          <w:szCs w:val="24"/>
        </w:rPr>
        <w:t xml:space="preserve">ия, использование технологических и кадровых ресурсов университетов, исследовательских институтов позволяет максимально приблизить педагогов к профессиональной реальности будущего выпускника. Решение задач опережающего профессионального выбора, введения в </w:t>
      </w:r>
      <w:r>
        <w:rPr>
          <w:rFonts w:ascii="Times New Roman" w:hAnsi="Times New Roman" w:cs="Times New Roman"/>
          <w:sz w:val="24"/>
          <w:szCs w:val="24"/>
        </w:rPr>
        <w:t xml:space="preserve">технологичный мир будущих профессий с горизонтом перспективы на 5-10 лет становится возможным благодаря системе мероприятий профессионального развития педагогов, реализуемых для педагогов </w:t>
      </w:r>
      <w:r>
        <w:rPr>
          <w:rFonts w:ascii="Times New Roman" w:hAnsi="Times New Roman" w:cs="Times New Roman"/>
          <w:sz w:val="24"/>
          <w:szCs w:val="24"/>
        </w:rPr>
        <w:t xml:space="preserve">совместно с</w:t>
      </w:r>
      <w:r>
        <w:rPr>
          <w:rFonts w:ascii="Times New Roman" w:hAnsi="Times New Roman" w:cs="Times New Roman"/>
          <w:sz w:val="24"/>
          <w:szCs w:val="24"/>
        </w:rPr>
        <w:t xml:space="preserve"> сетевы</w:t>
      </w:r>
      <w:r>
        <w:rPr>
          <w:rFonts w:ascii="Times New Roman" w:hAnsi="Times New Roman" w:cs="Times New Roman"/>
          <w:sz w:val="24"/>
          <w:szCs w:val="24"/>
        </w:rPr>
        <w:t xml:space="preserve">ми</w:t>
      </w:r>
      <w:r>
        <w:rPr>
          <w:rFonts w:ascii="Times New Roman" w:hAnsi="Times New Roman" w:cs="Times New Roman"/>
          <w:sz w:val="24"/>
          <w:szCs w:val="24"/>
        </w:rPr>
        <w:t xml:space="preserve"> партнёр</w:t>
      </w:r>
      <w:r>
        <w:rPr>
          <w:rFonts w:ascii="Times New Roman" w:hAnsi="Times New Roman" w:cs="Times New Roman"/>
          <w:sz w:val="24"/>
          <w:szCs w:val="24"/>
        </w:rPr>
        <w:t xml:space="preserve">ами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начала 2022/23 учебного года р</w:t>
      </w:r>
      <w:r>
        <w:rPr>
          <w:rFonts w:ascii="Times New Roman" w:hAnsi="Times New Roman" w:cs="Times New Roman"/>
          <w:sz w:val="24"/>
          <w:szCs w:val="24"/>
        </w:rPr>
        <w:t xml:space="preserve">ассмотренная</w:t>
      </w:r>
      <w:r>
        <w:rPr>
          <w:rFonts w:ascii="Times New Roman" w:hAnsi="Times New Roman" w:cs="Times New Roman"/>
          <w:sz w:val="24"/>
          <w:szCs w:val="24"/>
        </w:rPr>
        <w:t xml:space="preserve"> Модель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z w:val="24"/>
          <w:szCs w:val="24"/>
        </w:rPr>
        <w:t xml:space="preserve">нутришкольной системы непрерывного профессионального развития педагога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уже</w:t>
      </w:r>
      <w:r>
        <w:rPr>
          <w:rFonts w:ascii="Times New Roman" w:hAnsi="Times New Roman" w:cs="Times New Roman"/>
          <w:sz w:val="24"/>
          <w:szCs w:val="24"/>
        </w:rPr>
        <w:t xml:space="preserve"> используется</w:t>
      </w:r>
      <w:r>
        <w:rPr>
          <w:rFonts w:ascii="Times New Roman" w:hAnsi="Times New Roman" w:cs="Times New Roman"/>
          <w:sz w:val="24"/>
          <w:szCs w:val="24"/>
        </w:rPr>
        <w:t xml:space="preserve"> для </w:t>
      </w:r>
      <w:r>
        <w:rPr>
          <w:rFonts w:ascii="Times New Roman" w:hAnsi="Times New Roman" w:cs="Times New Roman"/>
          <w:sz w:val="24"/>
          <w:szCs w:val="24"/>
        </w:rPr>
        <w:t xml:space="preserve">непрерывного профессионального развития педагог</w:t>
      </w:r>
      <w:r>
        <w:rPr>
          <w:rFonts w:ascii="Times New Roman" w:hAnsi="Times New Roman" w:cs="Times New Roman"/>
          <w:sz w:val="24"/>
          <w:szCs w:val="24"/>
        </w:rPr>
        <w:t xml:space="preserve">ов</w:t>
      </w:r>
      <w:r>
        <w:rPr>
          <w:rFonts w:ascii="Times New Roman" w:hAnsi="Times New Roman" w:cs="Times New Roman"/>
          <w:sz w:val="24"/>
          <w:szCs w:val="24"/>
        </w:rPr>
        <w:t xml:space="preserve"> школы №368 Фрунзенского района города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, а п</w:t>
      </w:r>
      <w:r>
        <w:rPr>
          <w:rFonts w:ascii="Times New Roman" w:hAnsi="Times New Roman" w:cs="Times New Roman"/>
          <w:sz w:val="24"/>
          <w:szCs w:val="24"/>
        </w:rPr>
        <w:t xml:space="preserve">роведение </w:t>
      </w:r>
      <w:r>
        <w:rPr>
          <w:rFonts w:ascii="Times New Roman" w:hAnsi="Times New Roman" w:cs="Times New Roman"/>
          <w:sz w:val="24"/>
          <w:szCs w:val="24"/>
        </w:rPr>
        <w:t xml:space="preserve">информационно-методическ</w:t>
      </w:r>
      <w:r>
        <w:rPr>
          <w:rFonts w:ascii="Times New Roman" w:hAnsi="Times New Roman" w:cs="Times New Roman"/>
          <w:sz w:val="24"/>
          <w:szCs w:val="24"/>
        </w:rPr>
        <w:t xml:space="preserve">их</w:t>
      </w:r>
      <w:r>
        <w:rPr>
          <w:rFonts w:ascii="Times New Roman" w:hAnsi="Times New Roman" w:cs="Times New Roman"/>
          <w:sz w:val="24"/>
          <w:szCs w:val="24"/>
        </w:rPr>
        <w:t xml:space="preserve"> семинар</w:t>
      </w:r>
      <w:r>
        <w:rPr>
          <w:rFonts w:ascii="Times New Roman" w:hAnsi="Times New Roman" w:cs="Times New Roman"/>
          <w:sz w:val="24"/>
          <w:szCs w:val="24"/>
        </w:rPr>
        <w:t xml:space="preserve">ов и круглых столов обе</w:t>
      </w:r>
      <w:r>
        <w:rPr>
          <w:rFonts w:ascii="Times New Roman" w:hAnsi="Times New Roman" w:cs="Times New Roman"/>
          <w:sz w:val="24"/>
          <w:szCs w:val="24"/>
        </w:rPr>
        <w:t xml:space="preserve">спечивает эффективное</w:t>
      </w:r>
      <w:r>
        <w:rPr>
          <w:rFonts w:ascii="Times New Roman" w:hAnsi="Times New Roman" w:cs="Times New Roman"/>
          <w:sz w:val="24"/>
          <w:szCs w:val="24"/>
        </w:rPr>
        <w:t xml:space="preserve"> внедрение </w:t>
      </w:r>
      <w:r>
        <w:rPr>
          <w:rFonts w:ascii="Times New Roman" w:hAnsi="Times New Roman" w:cs="Times New Roman"/>
          <w:sz w:val="24"/>
          <w:szCs w:val="24"/>
        </w:rPr>
        <w:t xml:space="preserve">данной </w:t>
      </w:r>
      <w:r>
        <w:rPr>
          <w:rFonts w:ascii="Times New Roman" w:hAnsi="Times New Roman" w:cs="Times New Roman"/>
          <w:sz w:val="24"/>
          <w:szCs w:val="24"/>
        </w:rPr>
        <w:t xml:space="preserve">Модели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spacing w:after="0" w:line="36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ind w:firstLine="720"/>
        <w:jc w:val="both"/>
        <w:spacing w:after="0" w:line="36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highlight w:val="none"/>
        </w:rPr>
      </w:r>
    </w:p>
    <w:p>
      <w:pPr>
        <w:ind w:firstLine="720"/>
        <w:jc w:val="both"/>
        <w:spacing w:after="0" w:line="360" w:lineRule="auto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Список источников: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pStyle w:val="697"/>
        <w:numPr>
          <w:ilvl w:val="0"/>
          <w:numId w:val="5"/>
        </w:numPr>
        <w:ind w:left="714" w:hanging="357"/>
        <w:jc w:val="both"/>
        <w:spacing w:after="0" w:line="36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Клименко В.А.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рофессиональная компетентность специалиста в условиях дигитализации современного общества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// Социологический альманах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, Минск. –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2021.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 -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№12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pStyle w:val="697"/>
        <w:numPr>
          <w:ilvl w:val="0"/>
          <w:numId w:val="5"/>
        </w:numPr>
        <w:ind w:left="714" w:hanging="357"/>
        <w:jc w:val="both"/>
        <w:spacing w:after="0" w:line="36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Напреенко Т.Е., Хомутская В. В Методика «якоря карьеры» Э.Шейна как инструмент изучения мотивационного профиля сотрудников организации. https://files.scienceforum.ru/pdf/2018/2705.pdf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pStyle w:val="697"/>
        <w:numPr>
          <w:ilvl w:val="0"/>
          <w:numId w:val="5"/>
        </w:numPr>
        <w:ind w:left="714" w:hanging="357"/>
        <w:jc w:val="both"/>
        <w:spacing w:after="0" w:line="36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Печеркина А. А. Развитие профессиональной компетентности педагога: теория и практика [Текст] : монография / А. А. Печеркина, Э. Э. Сыманюк, Е. Л. Умникова : Урал. гос. пед. ун-т. – Екатеринбург : [б.и.], 2011. – 233 с.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pStyle w:val="697"/>
        <w:numPr>
          <w:ilvl w:val="0"/>
          <w:numId w:val="5"/>
        </w:numPr>
        <w:ind w:left="714" w:hanging="357"/>
        <w:jc w:val="both"/>
        <w:spacing w:after="0" w:line="36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Постановление Правительства Санкт-Петербурга от 13 мая 2014 года N 355 «О стратегии экономического и социального развития Санкт-Петербурга на период до 2030 года». http://egov.law.kodeks.ru/npd/show_document/537954903 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pStyle w:val="697"/>
        <w:numPr>
          <w:ilvl w:val="0"/>
          <w:numId w:val="5"/>
        </w:numPr>
        <w:ind w:left="714" w:hanging="357"/>
        <w:jc w:val="both"/>
        <w:spacing w:after="0" w:line="36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Распоряжение Правит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ельства РФ от 31 декабря 2019 г. N 3273-р «Об утверждении основных принципов национальной системы профессионального роста педагогических работников РФ, включая национальную систему учительского роста». https://www.garant.ru/products/ipo/prime/doc/73284005/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pStyle w:val="697"/>
        <w:numPr>
          <w:ilvl w:val="0"/>
          <w:numId w:val="5"/>
        </w:numPr>
        <w:ind w:left="714" w:hanging="357"/>
        <w:jc w:val="both"/>
        <w:spacing w:after="0" w:line="36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Распоряжение Правительс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тва РФ от 02.12.2021 N 3427-р «Об утверждении стратегического направления в области цифровой трансформации образования, относящейся к сфере деятельности Министерства просвещения Российской Федерации». https://www.garant.ru/products/ipo/prime/doc/403075723/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pStyle w:val="697"/>
        <w:numPr>
          <w:ilvl w:val="0"/>
          <w:numId w:val="5"/>
        </w:numPr>
        <w:ind w:left="714" w:hanging="357"/>
        <w:jc w:val="both"/>
        <w:spacing w:after="0" w:line="36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Указ Президента Российской Федерации от 07.05.2018 г. № 204 О национальных целях и стратегических задачах развития Российской Федерации на период до 2024 года. http://www.kremlin.ru/acts/bank/43027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pStyle w:val="697"/>
        <w:numPr>
          <w:ilvl w:val="0"/>
          <w:numId w:val="5"/>
        </w:numPr>
        <w:ind w:left="714" w:hanging="357"/>
        <w:jc w:val="both"/>
        <w:spacing w:after="0" w:line="36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Федеральный закон от 29.12.2012 г. № 273-ФЗ Об образовании в Российской Федерации. http://www.kremlin.ru/acts/bank/36698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sectPr>
      <w:footerReference w:type="default" r:id="rId9"/>
      <w:footnotePr/>
      <w:endnotePr/>
      <w:type w:val="nextPage"/>
      <w:pgSz w:w="11906" w:h="16838" w:orient="portrait"/>
      <w:pgMar w:top="1134" w:right="1134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407308342"/>
      <w:docPartObj>
        <w:docPartGallery w:val="Page Numbers (Bottom of Page)"/>
        <w:docPartUnique w:val="true"/>
      </w:docPartObj>
      <w:rPr/>
    </w:sdtPr>
    <w:sdtContent>
      <w:p>
        <w:pPr>
          <w:pStyle w:val="69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2</w:t>
        </w:r>
        <w:r>
          <w:fldChar w:fldCharType="end"/>
        </w:r>
        <w:r/>
      </w:p>
    </w:sdtContent>
  </w:sdt>
  <w:p>
    <w:pPr>
      <w:pStyle w:val="695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Zero"/>
      <w:isLgl w:val="false"/>
      <w:suff w:val="tab"/>
      <w:lvlText w:val="%2."/>
      <w:lvlJc w:val="left"/>
      <w:pPr>
        <w:ind w:left="2161" w:hanging="372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Zero"/>
      <w:isLgl w:val="false"/>
      <w:suff w:val="tab"/>
      <w:lvlText w:val="%2."/>
      <w:lvlJc w:val="left"/>
      <w:pPr>
        <w:ind w:left="2161" w:hanging="372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90"/>
    <w:link w:val="688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90"/>
    <w:link w:val="689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87"/>
    <w:next w:val="68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90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87"/>
    <w:next w:val="68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90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87"/>
    <w:next w:val="68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90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87"/>
    <w:next w:val="68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90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87"/>
    <w:next w:val="68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90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87"/>
    <w:next w:val="68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90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87"/>
    <w:next w:val="68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90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87"/>
    <w:next w:val="68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90"/>
    <w:link w:val="34"/>
    <w:uiPriority w:val="10"/>
    <w:rPr>
      <w:sz w:val="48"/>
      <w:szCs w:val="48"/>
    </w:rPr>
  </w:style>
  <w:style w:type="paragraph" w:styleId="36">
    <w:name w:val="Subtitle"/>
    <w:basedOn w:val="687"/>
    <w:next w:val="68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90"/>
    <w:link w:val="36"/>
    <w:uiPriority w:val="11"/>
    <w:rPr>
      <w:sz w:val="24"/>
      <w:szCs w:val="24"/>
    </w:rPr>
  </w:style>
  <w:style w:type="paragraph" w:styleId="38">
    <w:name w:val="Quote"/>
    <w:basedOn w:val="687"/>
    <w:next w:val="68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87"/>
    <w:next w:val="68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90"/>
    <w:link w:val="693"/>
    <w:uiPriority w:val="99"/>
  </w:style>
  <w:style w:type="character" w:styleId="45">
    <w:name w:val="Footer Char"/>
    <w:basedOn w:val="690"/>
    <w:link w:val="695"/>
    <w:uiPriority w:val="99"/>
  </w:style>
  <w:style w:type="paragraph" w:styleId="46">
    <w:name w:val="Caption"/>
    <w:basedOn w:val="687"/>
    <w:next w:val="68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95"/>
    <w:uiPriority w:val="99"/>
  </w:style>
  <w:style w:type="table" w:styleId="49">
    <w:name w:val="Table Grid Light"/>
    <w:basedOn w:val="69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9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9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148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152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55">
    <w:name w:val="Lined - Accent 2"/>
    <w:basedOn w:val="6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59">
    <w:name w:val="Lined - Accent 6"/>
    <w:basedOn w:val="6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62">
    <w:name w:val="Bordered &amp; Lined - Accent 2"/>
    <w:basedOn w:val="6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6">
    <w:name w:val="Bordered &amp; Lined - Accent 6"/>
    <w:basedOn w:val="6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8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90"/>
    <w:uiPriority w:val="99"/>
    <w:unhideWhenUsed/>
    <w:rPr>
      <w:vertAlign w:val="superscript"/>
    </w:rPr>
  </w:style>
  <w:style w:type="paragraph" w:styleId="178">
    <w:name w:val="endnote text"/>
    <w:basedOn w:val="68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90"/>
    <w:uiPriority w:val="99"/>
    <w:semiHidden/>
    <w:unhideWhenUsed/>
    <w:rPr>
      <w:vertAlign w:val="superscript"/>
    </w:rPr>
  </w:style>
  <w:style w:type="paragraph" w:styleId="181">
    <w:name w:val="toc 1"/>
    <w:basedOn w:val="687"/>
    <w:next w:val="68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87"/>
    <w:next w:val="68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87"/>
    <w:next w:val="68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87"/>
    <w:next w:val="68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87"/>
    <w:next w:val="68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87"/>
    <w:next w:val="68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87"/>
    <w:next w:val="68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87"/>
    <w:next w:val="68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87"/>
    <w:next w:val="68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87"/>
    <w:next w:val="687"/>
    <w:uiPriority w:val="99"/>
    <w:unhideWhenUsed/>
    <w:pPr>
      <w:spacing w:after="0" w:afterAutospacing="0"/>
    </w:pPr>
  </w:style>
  <w:style w:type="paragraph" w:styleId="687" w:default="1">
    <w:name w:val="Normal"/>
    <w:qFormat/>
  </w:style>
  <w:style w:type="paragraph" w:styleId="688">
    <w:name w:val="Heading 1"/>
    <w:basedOn w:val="687"/>
    <w:next w:val="687"/>
    <w:link w:val="698"/>
    <w:uiPriority w:val="9"/>
    <w:qFormat/>
    <w:pPr>
      <w:keepLines/>
      <w:keepNext/>
      <w:spacing w:before="480" w:after="0" w:line="276" w:lineRule="auto"/>
      <w:outlineLvl w:val="0"/>
    </w:pPr>
    <w:rPr>
      <w:rFonts w:asciiTheme="majorHAnsi" w:hAnsiTheme="majorHAnsi" w:eastAsiaTheme="majorEastAsia" w:cstheme="majorBidi"/>
      <w:b/>
      <w:bCs/>
      <w:color w:val="2f5496" w:themeColor="accent1" w:themeShade="BF"/>
      <w:sz w:val="28"/>
      <w:szCs w:val="28"/>
    </w:rPr>
  </w:style>
  <w:style w:type="paragraph" w:styleId="689">
    <w:name w:val="Heading 2"/>
    <w:basedOn w:val="687"/>
    <w:next w:val="687"/>
    <w:link w:val="704"/>
    <w:uiPriority w:val="9"/>
    <w:semiHidden/>
    <w:unhideWhenUsed/>
    <w:qFormat/>
    <w:pPr>
      <w:keepLines/>
      <w:keepNext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paragraph" w:styleId="693">
    <w:name w:val="Header"/>
    <w:basedOn w:val="687"/>
    <w:link w:val="69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94" w:customStyle="1">
    <w:name w:val="Верхний колонтитул Знак"/>
    <w:basedOn w:val="690"/>
    <w:link w:val="693"/>
    <w:uiPriority w:val="99"/>
  </w:style>
  <w:style w:type="paragraph" w:styleId="695">
    <w:name w:val="Footer"/>
    <w:basedOn w:val="687"/>
    <w:link w:val="69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96" w:customStyle="1">
    <w:name w:val="Нижний колонтитул Знак"/>
    <w:basedOn w:val="690"/>
    <w:link w:val="695"/>
    <w:uiPriority w:val="99"/>
  </w:style>
  <w:style w:type="paragraph" w:styleId="697">
    <w:name w:val="List Paragraph"/>
    <w:basedOn w:val="687"/>
    <w:uiPriority w:val="34"/>
    <w:qFormat/>
    <w:pPr>
      <w:contextualSpacing/>
      <w:ind w:left="720"/>
    </w:pPr>
  </w:style>
  <w:style w:type="character" w:styleId="698" w:customStyle="1">
    <w:name w:val="Заголовок 1 Знак"/>
    <w:basedOn w:val="690"/>
    <w:link w:val="688"/>
    <w:uiPriority w:val="9"/>
    <w:rPr>
      <w:rFonts w:asciiTheme="majorHAnsi" w:hAnsiTheme="majorHAnsi" w:eastAsiaTheme="majorEastAsia" w:cstheme="majorBidi"/>
      <w:b/>
      <w:bCs/>
      <w:color w:val="2f5496" w:themeColor="accent1" w:themeShade="BF"/>
      <w:sz w:val="28"/>
      <w:szCs w:val="28"/>
    </w:rPr>
  </w:style>
  <w:style w:type="table" w:styleId="699">
    <w:name w:val="Table Grid"/>
    <w:basedOn w:val="691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00">
    <w:name w:val="Grid Table Light"/>
    <w:basedOn w:val="691"/>
    <w:uiPriority w:val="4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701">
    <w:name w:val="Hyperlink"/>
    <w:basedOn w:val="690"/>
    <w:uiPriority w:val="99"/>
    <w:unhideWhenUsed/>
    <w:rPr>
      <w:color w:val="0563c1" w:themeColor="hyperlink"/>
      <w:u w:val="single"/>
    </w:rPr>
  </w:style>
  <w:style w:type="character" w:styleId="702">
    <w:name w:val="Unresolved Mention"/>
    <w:basedOn w:val="690"/>
    <w:uiPriority w:val="99"/>
    <w:semiHidden/>
    <w:unhideWhenUsed/>
    <w:rPr>
      <w:color w:val="605e5c"/>
      <w:shd w:val="clear" w:color="auto" w:fill="e1dfdd"/>
    </w:rPr>
  </w:style>
  <w:style w:type="character" w:styleId="703">
    <w:name w:val="FollowedHyperlink"/>
    <w:basedOn w:val="690"/>
    <w:uiPriority w:val="99"/>
    <w:semiHidden/>
    <w:unhideWhenUsed/>
    <w:rPr>
      <w:color w:val="954f72" w:themeColor="followedHyperlink"/>
      <w:u w:val="single"/>
    </w:rPr>
  </w:style>
  <w:style w:type="character" w:styleId="704" w:customStyle="1">
    <w:name w:val="Заголовок 2 Знак"/>
    <w:basedOn w:val="690"/>
    <w:link w:val="689"/>
    <w:uiPriority w:val="9"/>
    <w:semiHidden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hyperlink" Target="https://368razvitie.ru/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s://368razvitie.ru/diagnost/" TargetMode="External"/><Relationship Id="rId14" Type="http://schemas.openxmlformats.org/officeDocument/2006/relationships/hyperlink" Target="https://368razvitie.ru/diagnost/" TargetMode="External"/><Relationship Id="rId15" Type="http://schemas.openxmlformats.org/officeDocument/2006/relationships/image" Target="media/image2.png"/><Relationship Id="rId16" Type="http://schemas.openxmlformats.org/officeDocument/2006/relationships/hyperlink" Target="https://368razvitie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66DA4-6EB3-4A28-85DC-E1B32B62F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Elizaveta Sheklanova</dc:creator>
  <cp:keywords/>
  <dc:description/>
  <cp:revision>29</cp:revision>
  <dcterms:created xsi:type="dcterms:W3CDTF">2023-03-29T08:12:00Z</dcterms:created>
  <dcterms:modified xsi:type="dcterms:W3CDTF">2023-09-08T07:46:06Z</dcterms:modified>
</cp:coreProperties>
</file>