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Французова</w:t>
      </w:r>
      <w:r>
        <w:rPr>
          <w:rFonts w:ascii="Times New Roman" w:hAnsi="Times New Roman" w:cs="Times New Roman"/>
          <w:sz w:val="24"/>
          <w:szCs w:val="24"/>
        </w:rPr>
        <w:t xml:space="preserve"> Ирина Вячеславовна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ГБОУ СОШ№ 314 Фрунзенского района Санкт-Петербурга 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Миронова Ольга Николаевна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по УВР, учитель высшей категории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ГБОУ СОШ № 314 Фрунзенского района Санкт-Петербурга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Кудрина Светлана Владимировна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кандидат педагогических наук,</w:t>
      </w:r>
      <w:r>
        <w:rPr>
          <w:rFonts w:ascii="Times New Roman" w:hAnsi="Times New Roman" w:cs="Times New Roman"/>
          <w:sz w:val="24"/>
          <w:szCs w:val="24"/>
        </w:rPr>
        <w:t xml:space="preserve"> доцент, педагог-организатор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ГБОУ СОШ № 314 Фрунзенского района Санкт-Петербурга</w:t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Три шага до </w:t>
      </w:r>
      <w:r>
        <w:rPr>
          <w:rFonts w:ascii="Times New Roman" w:hAnsi="Times New Roman" w:cs="Times New Roman"/>
          <w:b/>
          <w:sz w:val="28"/>
          <w:szCs w:val="28"/>
        </w:rPr>
        <w:t xml:space="preserve">высокофункциональной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модели системы корпоративного повышения квалификации в образовательной организации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/>
    </w:p>
    <w:p>
      <w:pPr>
        <w:ind w:left="709" w:right="0" w:firstLine="0"/>
        <w:jc w:val="both"/>
        <w:spacing w:before="0" w:beforeAutospacing="0" w:after="0" w:afterAutospacing="0" w:line="360" w:lineRule="auto"/>
        <w:rPr>
          <w:rFonts w:ascii="Times New Roman" w:hAnsi="Times New Roman" w:cs="Times New Roman"/>
          <w:bCs/>
          <w:i/>
          <w:sz w:val="24"/>
          <w:szCs w:val="24"/>
          <w:highlight w:val="non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 статье выделяются и описываются пути формиров</w:t>
      </w:r>
      <w:r>
        <w:rPr>
          <w:rFonts w:ascii="Times New Roman" w:hAnsi="Times New Roman" w:cs="Times New Roman"/>
          <w:i/>
          <w:sz w:val="24"/>
          <w:szCs w:val="24"/>
        </w:rPr>
        <w:t xml:space="preserve">ания психолого-педагогических и </w:t>
      </w:r>
      <w:r>
        <w:rPr>
          <w:rFonts w:ascii="Times New Roman" w:hAnsi="Times New Roman" w:cs="Times New Roman"/>
          <w:i/>
          <w:sz w:val="24"/>
          <w:szCs w:val="24"/>
        </w:rPr>
        <w:t xml:space="preserve">методических компетенций педагогов, работающих в условиях совместного обучения детей с ОВЗ и школьников, </w:t>
      </w:r>
      <w:r>
        <w:rPr>
          <w:rFonts w:ascii="Times New Roman" w:hAnsi="Times New Roman" w:cs="Times New Roman"/>
          <w:i/>
          <w:sz w:val="24"/>
          <w:szCs w:val="24"/>
        </w:rPr>
        <w:t xml:space="preserve">не имеющих</w:t>
      </w:r>
      <w:r>
        <w:rPr>
          <w:rFonts w:ascii="Times New Roman" w:hAnsi="Times New Roman" w:cs="Times New Roman"/>
          <w:i/>
          <w:sz w:val="24"/>
          <w:szCs w:val="24"/>
        </w:rPr>
        <w:t xml:space="preserve"> особенностей развития</w:t>
      </w:r>
      <w:bookmarkStart w:id="0" w:name="_GoBack"/>
      <w:r/>
      <w:bookmarkEnd w:id="0"/>
      <w:r>
        <w:rPr>
          <w:rFonts w:ascii="Times New Roman" w:hAnsi="Times New Roman" w:cs="Times New Roman"/>
          <w:i/>
          <w:sz w:val="24"/>
          <w:szCs w:val="24"/>
        </w:rPr>
        <w:t xml:space="preserve">. Новизна</w:t>
      </w:r>
      <w:r>
        <w:rPr>
          <w:rFonts w:ascii="Times New Roman" w:hAnsi="Times New Roman" w:cs="Times New Roman"/>
          <w:i/>
          <w:sz w:val="24"/>
          <w:szCs w:val="24"/>
        </w:rPr>
        <w:t xml:space="preserve"> исследования заключается в создании системы корпоративного модульного обучения специалистов образовательной организации. В результате выделены и охарактеризов</w:t>
      </w:r>
      <w:r>
        <w:rPr>
          <w:rFonts w:ascii="Times New Roman" w:hAnsi="Times New Roman" w:cs="Times New Roman"/>
          <w:i/>
          <w:sz w:val="24"/>
          <w:szCs w:val="24"/>
        </w:rPr>
        <w:t xml:space="preserve">аны три этапа системной работы.</w:t>
      </w:r>
      <w:r/>
    </w:p>
    <w:p>
      <w:pPr>
        <w:ind w:left="709" w:right="0" w:firstLine="0"/>
        <w:jc w:val="both"/>
        <w:spacing w:after="0" w:line="36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highlight w:val="none"/>
        </w:rPr>
      </w:r>
      <w:r>
        <w:rPr>
          <w:rFonts w:ascii="Times New Roman" w:hAnsi="Times New Roman" w:cs="Times New Roman"/>
          <w:i/>
          <w:sz w:val="24"/>
          <w:szCs w:val="24"/>
          <w:highlight w:val="none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современной ситуации развития системы отечественного образования особой задачей повышения квалификации становится создание условий для профе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ссионального становления и развития гибких, мобильных, готовых к постоянному поиску новых решений специалистов системы образования. Одним из эффективных путей решения такой задачи является корпоративное обучение. Анализ различных подходов к его определению</w:t>
      </w:r>
      <w:r>
        <w:rPr>
          <w:rStyle w:val="887"/>
          <w:rFonts w:ascii="Times New Roman" w:hAnsi="Times New Roman" w:cs="Times New Roman"/>
          <w:sz w:val="24"/>
          <w:szCs w:val="24"/>
          <w:shd w:val="clear" w:color="auto" w:fill="ffffff"/>
        </w:rPr>
        <w:footnoteReference w:id="2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позволил нам сформулировать понимание этого феномена, наиболее полно отвечающего нашим задачам.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нашей работе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мы будем рассматривать корпоративное обучение как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реализуемое без отрыва от работы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непрерывное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обучение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специалистов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риентированное на задачи образовательной организации и целенаправленное развитие коллектива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учитывающее потребности каждого из его участников, использующее их профессиональные возможности и направленное на формирование единого поля методической работы образовательной организации.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Полагаем, что для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его эффективной реализации необходимо разработать и реализовать системную работу, структуру которой можно представить в виде 3-х основных шагов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</w:t>
      </w:r>
      <w:r/>
    </w:p>
    <w:p>
      <w:pPr>
        <w:pStyle w:val="877"/>
        <w:numPr>
          <w:ilvl w:val="0"/>
          <w:numId w:val="2"/>
        </w:numPr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Разработка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модели корпоративного обучения</w:t>
      </w:r>
      <w:r>
        <w:rPr>
          <w:rStyle w:val="887"/>
          <w:rFonts w:ascii="Times New Roman" w:hAnsi="Times New Roman" w:cs="Times New Roman"/>
          <w:i/>
          <w:sz w:val="24"/>
          <w:szCs w:val="24"/>
          <w:shd w:val="clear" w:color="auto" w:fill="ffffff"/>
        </w:rPr>
        <w:footnoteReference w:id="3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</w:t>
      </w:r>
      <w:r/>
    </w:p>
    <w:p>
      <w:pPr>
        <w:pStyle w:val="877"/>
        <w:numPr>
          <w:ilvl w:val="0"/>
          <w:numId w:val="2"/>
        </w:numPr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Реализация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пилотного проекта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модульной системы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корпоративного обучения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</w:t>
      </w:r>
      <w:r/>
    </w:p>
    <w:p>
      <w:pPr>
        <w:pStyle w:val="877"/>
        <w:numPr>
          <w:ilvl w:val="0"/>
          <w:numId w:val="2"/>
        </w:numPr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Запуск модели в рабочем режиме функционирования и ее тиражирование.</w:t>
      </w:r>
      <w:r/>
    </w:p>
    <w:p>
      <w:pPr>
        <w:pStyle w:val="877"/>
        <w:ind w:left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Представим результаты успешной реализации  двух первых шагов.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основу разработки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модели корпоративного обучения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была положена идея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создания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единой методической системы становления профессиональной идентично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сти специалистов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нового поколения, позволяющей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реализовывать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имеющиеся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создавать собственные современные психолого-педагогические и методические разработки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реализации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практик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совместного обучения детей с ОВЗ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(особые возможности здоровья)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обучающихся, не имеющих особенностей в развитии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Саму модель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сконструированную и реализуемую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рамках работы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районной проектной педагогической мастерской кла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стера «Вектор учителя будущего»,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составили три элемента:</w:t>
      </w:r>
      <w:r/>
    </w:p>
    <w:p>
      <w:pPr>
        <w:pStyle w:val="877"/>
        <w:numPr>
          <w:ilvl w:val="0"/>
          <w:numId w:val="6"/>
        </w:numPr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Программа диагностики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состояния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рофессиональных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(психолого-педагогических и методических) компетенций педагогов.</w:t>
      </w:r>
      <w:r/>
    </w:p>
    <w:p>
      <w:pPr>
        <w:pStyle w:val="877"/>
        <w:numPr>
          <w:ilvl w:val="0"/>
          <w:numId w:val="6"/>
        </w:numPr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Модульная система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корпоративного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повышения квалификации специалистов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</w:t>
      </w:r>
      <w:r/>
    </w:p>
    <w:p>
      <w:pPr>
        <w:pStyle w:val="877"/>
        <w:numPr>
          <w:ilvl w:val="0"/>
          <w:numId w:val="6"/>
        </w:numPr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Комплекс методических мероприятий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единого поля методической работы образовательной организации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обеспечивающих применение освоенных компетенций 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мониторирование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их состояния.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Модель корпоративного обучения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мы в рамках работы нашей образовательной организации, а также в сотрудничестве с сетевыми партнерами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реализуем как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пилотн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ый проект модульной системы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корпоративного обучения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Опишем результаты реализации каждого элемента.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иагностический материал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определения состояния психолого-педагогических и методических компетенций педагогов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включил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компетенции, обеспечивающие реализацию следующих базовых видов деятельности педагога-дефектолога: </w:t>
      </w:r>
      <w:r/>
    </w:p>
    <w:p>
      <w:pPr>
        <w:pStyle w:val="877"/>
        <w:numPr>
          <w:ilvl w:val="0"/>
          <w:numId w:val="3"/>
        </w:numPr>
        <w:ind w:left="567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диагностико</w:t>
      </w:r>
      <w:r>
        <w:rPr>
          <w:rFonts w:ascii="Times New Roman" w:hAnsi="Times New Roman" w:cs="Times New Roman"/>
          <w:sz w:val="24"/>
          <w:szCs w:val="24"/>
        </w:rPr>
        <w:t xml:space="preserve">-аналитическая деятельность, </w:t>
      </w:r>
      <w:r/>
    </w:p>
    <w:p>
      <w:pPr>
        <w:pStyle w:val="877"/>
        <w:numPr>
          <w:ilvl w:val="0"/>
          <w:numId w:val="3"/>
        </w:numPr>
        <w:ind w:left="567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конструктивно-организаторская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координаторская</w:t>
      </w:r>
      <w:r>
        <w:rPr>
          <w:rFonts w:ascii="Times New Roman" w:hAnsi="Times New Roman" w:cs="Times New Roman"/>
          <w:sz w:val="24"/>
          <w:szCs w:val="24"/>
        </w:rPr>
        <w:t xml:space="preserve"> деятельность,</w:t>
      </w:r>
      <w:r/>
    </w:p>
    <w:p>
      <w:pPr>
        <w:pStyle w:val="877"/>
        <w:numPr>
          <w:ilvl w:val="0"/>
          <w:numId w:val="3"/>
        </w:numPr>
        <w:ind w:left="567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преподавательская, коррекционно-развивающая</w:t>
      </w:r>
      <w:r>
        <w:rPr>
          <w:rFonts w:ascii="Times New Roman" w:hAnsi="Times New Roman" w:cs="Times New Roman"/>
          <w:sz w:val="24"/>
          <w:szCs w:val="24"/>
        </w:rPr>
        <w:t xml:space="preserve">, воспитательская деятельность;</w:t>
      </w:r>
      <w:r/>
    </w:p>
    <w:p>
      <w:pPr>
        <w:pStyle w:val="877"/>
        <w:numPr>
          <w:ilvl w:val="0"/>
          <w:numId w:val="3"/>
        </w:numPr>
        <w:ind w:left="567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консультативная и психопрофилактическая деятельность; </w:t>
      </w:r>
      <w:r/>
    </w:p>
    <w:p>
      <w:pPr>
        <w:pStyle w:val="877"/>
        <w:numPr>
          <w:ilvl w:val="0"/>
          <w:numId w:val="3"/>
        </w:numPr>
        <w:ind w:left="567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научно-исследовательская деятельность. </w:t>
      </w:r>
      <w:r/>
    </w:p>
    <w:p>
      <w:pPr>
        <w:pStyle w:val="877"/>
        <w:ind w:left="0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Участникам обследования предлагалось познакомиться с 35-ю высказываниями и сформулировать свое к ним отношение.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исследовании приняло участие 194 специалиста</w:t>
      </w:r>
      <w:r>
        <w:rPr>
          <w:rFonts w:ascii="Times New Roman" w:hAnsi="Times New Roman" w:cs="Times New Roman"/>
          <w:sz w:val="24"/>
          <w:szCs w:val="24"/>
        </w:rPr>
        <w:t xml:space="preserve">, в том числе представители учреждений-п</w:t>
      </w:r>
      <w:r>
        <w:rPr>
          <w:rFonts w:ascii="Times New Roman" w:hAnsi="Times New Roman" w:cs="Times New Roman"/>
          <w:sz w:val="24"/>
          <w:szCs w:val="24"/>
        </w:rPr>
        <w:t xml:space="preserve">ар</w:t>
      </w:r>
      <w:r>
        <w:rPr>
          <w:rFonts w:ascii="Times New Roman" w:hAnsi="Times New Roman" w:cs="Times New Roman"/>
          <w:sz w:val="24"/>
          <w:szCs w:val="24"/>
        </w:rPr>
        <w:t xml:space="preserve">тнеров</w:t>
      </w:r>
      <w:r>
        <w:rPr>
          <w:rFonts w:ascii="Times New Roman" w:hAnsi="Times New Roman" w:cs="Times New Roman"/>
          <w:sz w:val="24"/>
          <w:szCs w:val="24"/>
        </w:rPr>
        <w:t xml:space="preserve">. Респонденты относились к одной из 4 групп: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студенты, получающие образования по направление «специальное (дефектологическое) образование» (28%);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специалисты, реализующие только адаптированные образовательные программы, т.е. погруженные в дифференцированные образовательные практики (22%); 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педагоги, работающие в условиях совместного обучения детей с ОВЗ и школьников, не имеющих особенностей в развитии (6%);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педагоги, работающие с детьми, не имеющими особых образовательных потребностей (42%). 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Анализ ответов педагогов позволил сделать ряд важных для дальнейшего планирования работы выводов.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Наиболее сложными для всех участников обследования оказалось пониманием вопросов, связанных с осознанием сути и особенностей ФГОС для обуч</w:t>
      </w:r>
      <w:r>
        <w:rPr>
          <w:rFonts w:ascii="Times New Roman" w:hAnsi="Times New Roman" w:cs="Times New Roman"/>
          <w:sz w:val="24"/>
          <w:szCs w:val="24"/>
        </w:rPr>
        <w:t xml:space="preserve">ающихся с ОВЗ</w:t>
      </w:r>
      <w:r>
        <w:rPr>
          <w:rFonts w:ascii="Times New Roman" w:hAnsi="Times New Roman" w:cs="Times New Roman"/>
          <w:sz w:val="24"/>
          <w:szCs w:val="24"/>
        </w:rPr>
        <w:t xml:space="preserve">, разработкой АООП, а также оснащением процесса обучения детей с ОВЗ учебной литературой. На эти пункты было дано наибольшее количество неверных или неточных ответов. Корректные ответы дало менее половины опрошенных.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Более полно и точно специалисты видят проблемы, связанные с методическим осн</w:t>
      </w:r>
      <w:r>
        <w:rPr>
          <w:rFonts w:ascii="Times New Roman" w:hAnsi="Times New Roman" w:cs="Times New Roman"/>
          <w:sz w:val="24"/>
          <w:szCs w:val="24"/>
        </w:rPr>
        <w:t xml:space="preserve">ащением процесса обучения: диагностикой состояния ребенка, разработкой учебных материалов, а также выработкой общих подходов к созданию единой среды для обучения различных групп школьников, в том числе в области конструирования комфортного учебного простра</w:t>
      </w:r>
      <w:r>
        <w:rPr>
          <w:rFonts w:ascii="Times New Roman" w:hAnsi="Times New Roman" w:cs="Times New Roman"/>
          <w:sz w:val="24"/>
          <w:szCs w:val="24"/>
        </w:rPr>
        <w:t xml:space="preserve">нства. Корректных высказываний</w:t>
      </w:r>
      <w:r>
        <w:rPr>
          <w:rFonts w:ascii="Times New Roman" w:hAnsi="Times New Roman" w:cs="Times New Roman"/>
          <w:sz w:val="24"/>
          <w:szCs w:val="24"/>
        </w:rPr>
        <w:t xml:space="preserve"> в данных разделах было подавляющее большинство. Однако анализ полученных данных позволяет предположить, что значи</w:t>
      </w:r>
      <w:r>
        <w:rPr>
          <w:rFonts w:ascii="Times New Roman" w:hAnsi="Times New Roman" w:cs="Times New Roman"/>
          <w:sz w:val="24"/>
          <w:szCs w:val="24"/>
        </w:rPr>
        <w:t xml:space="preserve">тельная доля позитивных ответов</w:t>
      </w:r>
      <w:r>
        <w:rPr>
          <w:rFonts w:ascii="Times New Roman" w:hAnsi="Times New Roman" w:cs="Times New Roman"/>
          <w:sz w:val="24"/>
          <w:szCs w:val="24"/>
        </w:rPr>
        <w:t xml:space="preserve"> может быть оценена как принципиальное пони</w:t>
      </w:r>
      <w:r>
        <w:rPr>
          <w:rFonts w:ascii="Times New Roman" w:hAnsi="Times New Roman" w:cs="Times New Roman"/>
          <w:sz w:val="24"/>
          <w:szCs w:val="24"/>
        </w:rPr>
        <w:t xml:space="preserve">мание необходимости решать проблемы методического плана в таком ключе, но не как глубокое и полное видение технологии реализации этих рамочных установок. Соответственно, задачи углубления методической подготовки специалистов остаются предельно актуальными.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результатам проведе</w:t>
      </w:r>
      <w:r>
        <w:rPr>
          <w:rFonts w:ascii="Times New Roman" w:hAnsi="Times New Roman" w:cs="Times New Roman"/>
          <w:sz w:val="24"/>
          <w:szCs w:val="24"/>
        </w:rPr>
        <w:t xml:space="preserve">нного исследования специалисты, имеющие</w:t>
      </w:r>
      <w:r>
        <w:rPr>
          <w:rFonts w:ascii="Times New Roman" w:hAnsi="Times New Roman" w:cs="Times New Roman"/>
          <w:sz w:val="24"/>
          <w:szCs w:val="24"/>
        </w:rPr>
        <w:t xml:space="preserve"> наибольший опыт в организации обучения детей с особыми образователь</w:t>
      </w:r>
      <w:r>
        <w:rPr>
          <w:rFonts w:ascii="Times New Roman" w:hAnsi="Times New Roman" w:cs="Times New Roman"/>
          <w:sz w:val="24"/>
          <w:szCs w:val="24"/>
        </w:rPr>
        <w:t xml:space="preserve">ными потребностями и показавшие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ысокий уровень </w:t>
      </w:r>
      <w:r>
        <w:rPr>
          <w:rFonts w:ascii="Times New Roman" w:hAnsi="Times New Roman" w:cs="Times New Roman"/>
          <w:sz w:val="24"/>
          <w:szCs w:val="24"/>
        </w:rPr>
        <w:t xml:space="preserve">сформированности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исследуемых компетенций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приняли участие в разработке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модульной системы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корпоративного повышения квалификации специалистов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омплекс обучающих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предполагал работу в смешанном формате </w:t>
      </w:r>
      <w:r>
        <w:rPr>
          <w:rFonts w:ascii="Times New Roman" w:hAnsi="Times New Roman" w:cs="Times New Roman"/>
          <w:sz w:val="24"/>
          <w:szCs w:val="24"/>
        </w:rPr>
        <w:t xml:space="preserve"> на основе технологии </w:t>
      </w:r>
      <w:r>
        <w:rPr>
          <w:rFonts w:ascii="Times New Roman" w:hAnsi="Times New Roman" w:cs="Times New Roman"/>
          <w:sz w:val="24"/>
          <w:szCs w:val="24"/>
        </w:rPr>
        <w:t xml:space="preserve">микрообучения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Основа технологии - 4 взаимосвязанных обязательных этапа: актуализация знаний, информирование по теме, освоения материала, представление и проверка выполненных заданий. С</w:t>
      </w:r>
      <w:r>
        <w:rPr>
          <w:rFonts w:ascii="Times New Roman" w:hAnsi="Times New Roman" w:cs="Times New Roman"/>
          <w:sz w:val="24"/>
          <w:szCs w:val="24"/>
        </w:rPr>
        <w:t xml:space="preserve">труктуру</w:t>
      </w:r>
      <w:r>
        <w:rPr>
          <w:rFonts w:ascii="Times New Roman" w:hAnsi="Times New Roman" w:cs="Times New Roman"/>
          <w:sz w:val="24"/>
          <w:szCs w:val="24"/>
        </w:rPr>
        <w:t xml:space="preserve"> всего обучающего комплекса</w:t>
      </w:r>
      <w:r>
        <w:rPr>
          <w:rFonts w:ascii="Times New Roman" w:hAnsi="Times New Roman" w:cs="Times New Roman"/>
          <w:sz w:val="24"/>
          <w:szCs w:val="24"/>
        </w:rPr>
        <w:t xml:space="preserve"> можно представить следующим образом: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Модуль 1 посвящен компетенциям в области </w:t>
      </w:r>
      <w:r>
        <w:rPr>
          <w:rFonts w:ascii="Times New Roman" w:hAnsi="Times New Roman" w:cs="Times New Roman"/>
          <w:sz w:val="24"/>
          <w:szCs w:val="24"/>
        </w:rPr>
        <w:t xml:space="preserve">диагностико</w:t>
      </w:r>
      <w:r>
        <w:rPr>
          <w:rFonts w:ascii="Times New Roman" w:hAnsi="Times New Roman" w:cs="Times New Roman"/>
          <w:sz w:val="24"/>
          <w:szCs w:val="24"/>
        </w:rPr>
        <w:t xml:space="preserve">-аналитической 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Моду</w:t>
      </w:r>
      <w:r>
        <w:rPr>
          <w:rFonts w:ascii="Times New Roman" w:hAnsi="Times New Roman" w:cs="Times New Roman"/>
          <w:sz w:val="24"/>
          <w:szCs w:val="24"/>
        </w:rPr>
        <w:t xml:space="preserve">ль 2 ориентирован на развитие компетенций в </w:t>
      </w:r>
      <w:r>
        <w:rPr>
          <w:rFonts w:ascii="Times New Roman" w:hAnsi="Times New Roman" w:cs="Times New Roman"/>
          <w:sz w:val="24"/>
          <w:szCs w:val="24"/>
        </w:rPr>
        <w:t xml:space="preserve">конструктивно-организаторск</w:t>
      </w:r>
      <w:r>
        <w:rPr>
          <w:rFonts w:ascii="Times New Roman" w:hAnsi="Times New Roman" w:cs="Times New Roman"/>
          <w:sz w:val="24"/>
          <w:szCs w:val="24"/>
        </w:rPr>
        <w:t xml:space="preserve">ой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координаторск</w:t>
      </w:r>
      <w:r>
        <w:rPr>
          <w:rFonts w:ascii="Times New Roman" w:hAnsi="Times New Roman" w:cs="Times New Roman"/>
          <w:sz w:val="24"/>
          <w:szCs w:val="24"/>
        </w:rPr>
        <w:t xml:space="preserve">ой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Модуль 3 консолидирует задания в области развития </w:t>
      </w:r>
      <w:r>
        <w:rPr>
          <w:rFonts w:ascii="Times New Roman" w:hAnsi="Times New Roman" w:cs="Times New Roman"/>
          <w:sz w:val="24"/>
          <w:szCs w:val="24"/>
        </w:rPr>
        <w:t xml:space="preserve">преподавательск</w:t>
      </w:r>
      <w:r>
        <w:rPr>
          <w:rFonts w:ascii="Times New Roman" w:hAnsi="Times New Roman" w:cs="Times New Roman"/>
          <w:sz w:val="24"/>
          <w:szCs w:val="24"/>
        </w:rPr>
        <w:t xml:space="preserve">ой</w:t>
      </w:r>
      <w:r>
        <w:rPr>
          <w:rFonts w:ascii="Times New Roman" w:hAnsi="Times New Roman" w:cs="Times New Roman"/>
          <w:sz w:val="24"/>
          <w:szCs w:val="24"/>
        </w:rPr>
        <w:t xml:space="preserve">, коррекционно-развивающ</w:t>
      </w:r>
      <w:r>
        <w:rPr>
          <w:rFonts w:ascii="Times New Roman" w:hAnsi="Times New Roman" w:cs="Times New Roman"/>
          <w:sz w:val="24"/>
          <w:szCs w:val="24"/>
        </w:rPr>
        <w:t xml:space="preserve">ей и воспитательской деятельности.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Модуль 4 предполагает </w:t>
      </w:r>
      <w:r>
        <w:rPr>
          <w:rFonts w:ascii="Times New Roman" w:hAnsi="Times New Roman" w:cs="Times New Roman"/>
          <w:sz w:val="24"/>
          <w:szCs w:val="24"/>
        </w:rPr>
        <w:t xml:space="preserve">формирование готовности к </w:t>
      </w:r>
      <w:r>
        <w:rPr>
          <w:rFonts w:ascii="Times New Roman" w:hAnsi="Times New Roman" w:cs="Times New Roman"/>
          <w:sz w:val="24"/>
          <w:szCs w:val="24"/>
        </w:rPr>
        <w:t xml:space="preserve">консультативн</w:t>
      </w:r>
      <w:r>
        <w:rPr>
          <w:rFonts w:ascii="Times New Roman" w:hAnsi="Times New Roman" w:cs="Times New Roman"/>
          <w:sz w:val="24"/>
          <w:szCs w:val="24"/>
        </w:rPr>
        <w:t xml:space="preserve">ой</w:t>
      </w:r>
      <w:r>
        <w:rPr>
          <w:rFonts w:ascii="Times New Roman" w:hAnsi="Times New Roman" w:cs="Times New Roman"/>
          <w:sz w:val="24"/>
          <w:szCs w:val="24"/>
        </w:rPr>
        <w:t xml:space="preserve"> и психопрофилактическ</w:t>
      </w:r>
      <w:r>
        <w:rPr>
          <w:rFonts w:ascii="Times New Roman" w:hAnsi="Times New Roman" w:cs="Times New Roman"/>
          <w:sz w:val="24"/>
          <w:szCs w:val="24"/>
        </w:rPr>
        <w:t xml:space="preserve">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Модуль 5 направляет усилия специалистов на накопления опыта научно-исследовательской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Модули независимы друг от друга. Каждый из них содержит несколько занятий. Занятия могут изучаться последовательно или в свободном выборе и порядке.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Смешанный формат корпоративног</w:t>
      </w:r>
      <w:r>
        <w:rPr>
          <w:rFonts w:ascii="Times New Roman" w:hAnsi="Times New Roman" w:cs="Times New Roman"/>
          <w:sz w:val="24"/>
          <w:szCs w:val="24"/>
        </w:rPr>
        <w:t xml:space="preserve">о обучения предполагает, что ин</w:t>
      </w: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рмационный и тренировочный </w:t>
      </w:r>
      <w:r>
        <w:rPr>
          <w:rFonts w:ascii="Times New Roman" w:hAnsi="Times New Roman" w:cs="Times New Roman"/>
          <w:sz w:val="24"/>
          <w:szCs w:val="24"/>
        </w:rPr>
        <w:t xml:space="preserve">этапы</w:t>
      </w:r>
      <w:r>
        <w:rPr>
          <w:rFonts w:ascii="Times New Roman" w:hAnsi="Times New Roman" w:cs="Times New Roman"/>
          <w:sz w:val="24"/>
          <w:szCs w:val="24"/>
        </w:rPr>
        <w:t xml:space="preserve"> проходят в дистанционном формате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оффлайн</w:t>
      </w:r>
      <w:r>
        <w:rPr>
          <w:rFonts w:ascii="Times New Roman" w:hAnsi="Times New Roman" w:cs="Times New Roman"/>
          <w:sz w:val="24"/>
          <w:szCs w:val="24"/>
        </w:rPr>
        <w:t xml:space="preserve"> или онлайн режимах. </w:t>
      </w:r>
      <w:r>
        <w:rPr>
          <w:rFonts w:ascii="Times New Roman" w:hAnsi="Times New Roman" w:cs="Times New Roman"/>
          <w:sz w:val="24"/>
          <w:szCs w:val="24"/>
        </w:rPr>
        <w:t xml:space="preserve">Педагоги изучают материал по индивидуальным маршрутам. Контрольный этап проводится в очном режиме. Форма его проведения выб</w:t>
      </w:r>
      <w:r>
        <w:rPr>
          <w:rFonts w:ascii="Times New Roman" w:hAnsi="Times New Roman" w:cs="Times New Roman"/>
          <w:sz w:val="24"/>
          <w:szCs w:val="24"/>
        </w:rPr>
        <w:t xml:space="preserve">ирается организаторами исходя из</w:t>
      </w:r>
      <w:r>
        <w:rPr>
          <w:rFonts w:ascii="Times New Roman" w:hAnsi="Times New Roman" w:cs="Times New Roman"/>
          <w:sz w:val="24"/>
          <w:szCs w:val="24"/>
        </w:rPr>
        <w:t xml:space="preserve"> потребностей и возможностей организации. Это могут быть индивидуальные консультации по результатам выполнения работы или представление своих разработок по заданиям </w:t>
      </w:r>
      <w:r>
        <w:rPr>
          <w:rFonts w:ascii="Times New Roman" w:hAnsi="Times New Roman" w:cs="Times New Roman"/>
          <w:sz w:val="24"/>
          <w:szCs w:val="24"/>
        </w:rPr>
        <w:t xml:space="preserve">микрокурсов</w:t>
      </w:r>
      <w:r>
        <w:rPr>
          <w:rFonts w:ascii="Times New Roman" w:hAnsi="Times New Roman" w:cs="Times New Roman"/>
          <w:sz w:val="24"/>
          <w:szCs w:val="24"/>
        </w:rPr>
        <w:t xml:space="preserve"> на методических мероприятиях образовательной организации.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Комплекс методических мероприятий единого поля методической работы образовательной организации</w:t>
      </w:r>
      <w:r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создаваемый для реализации последнего этапа нашей работы – монитор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инга достижений – также удобно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структурируется: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Направление 1: методическая работа в образовательной организации.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Направление 2: методическая работа с сетевыми партнерами.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Направление 3: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методическая работы в районе, регионе, на всесоюзном и международном уровнях.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Направление 1 предполагает проведение методических мероприятий в школе: заседаний методических объединений, рабочих групп, наставнических пар, педагогические советы, методические выставки в реальном и виртуальном формате.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Направление 2 предполагает проведение методических мероприятий на базе организаций партнеров и на своей базе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целью об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мена опытом и выработки общих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подходов к работе и решение психолого-педагогических и методических задач. Результаты этого направления работы оформляются в совместных учебных, воспитательных, коррекционно-развивающих и методических мероприятиях, выступлениях на конференциях и семинарах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виде актуальных мастер-классов.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Например, семинары с сетевыми партнерами ГБОУ ЛО "Павловский центр "Логос" 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ГБДОУ детский сад №93 компенсирующего вида Фрунзенского района Санкт-Петербурга по темам: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«Современные подходы к 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аботе с детьми с ОВЗ в условиях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реализации инклюзивных практик»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«Коррекция и развитие детей с ТНР (тяжелыми нарушениями речи)».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</w:t>
      </w:r>
      <w:r>
        <w:rPr>
          <w:rFonts w:ascii="Times New Roman" w:hAnsi="Times New Roman" w:cs="Times New Roman"/>
          <w:sz w:val="24"/>
          <w:szCs w:val="24"/>
        </w:rPr>
        <w:t xml:space="preserve">Направления</w:t>
      </w:r>
      <w:r>
        <w:rPr>
          <w:rFonts w:ascii="Times New Roman" w:hAnsi="Times New Roman" w:cs="Times New Roman"/>
          <w:sz w:val="24"/>
          <w:szCs w:val="24"/>
        </w:rPr>
        <w:t xml:space="preserve"> 3 </w:t>
      </w:r>
      <w:r>
        <w:rPr>
          <w:rFonts w:ascii="Times New Roman" w:hAnsi="Times New Roman" w:cs="Times New Roman"/>
          <w:sz w:val="24"/>
          <w:szCs w:val="24"/>
        </w:rPr>
        <w:t xml:space="preserve">позволяет получить обратную связь от педагогического сообщества. В качестве примеров ее реализации можно привести </w:t>
      </w:r>
      <w:r>
        <w:rPr>
          <w:rFonts w:ascii="Times New Roman" w:hAnsi="Times New Roman" w:cs="Times New Roman"/>
          <w:sz w:val="24"/>
          <w:szCs w:val="24"/>
        </w:rPr>
        <w:t xml:space="preserve">выступления на следующих всероссийских и международных площадках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/>
    </w:p>
    <w:p>
      <w:pPr>
        <w:pStyle w:val="877"/>
        <w:numPr>
          <w:ilvl w:val="0"/>
          <w:numId w:val="4"/>
        </w:numPr>
        <w:ind w:left="0" w:right="0" w:firstLine="709"/>
        <w:jc w:val="both"/>
        <w:spacing w:after="0" w:line="360" w:lineRule="auto"/>
        <w:tabs>
          <w:tab w:val="left" w:pos="850" w:leader="none"/>
          <w:tab w:val="left" w:pos="992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Международная научно-практическая конференция на базе СНИГУ </w:t>
      </w:r>
      <w:r>
        <w:rPr>
          <w:rFonts w:ascii="Times New Roman" w:hAnsi="Times New Roman" w:cs="Times New Roman"/>
          <w:sz w:val="24"/>
          <w:szCs w:val="24"/>
        </w:rPr>
        <w:t xml:space="preserve">им.Н.Г.Чернышевского</w:t>
      </w:r>
      <w:r>
        <w:rPr>
          <w:rFonts w:ascii="Times New Roman" w:hAnsi="Times New Roman" w:cs="Times New Roman"/>
          <w:sz w:val="24"/>
          <w:szCs w:val="24"/>
        </w:rPr>
        <w:t xml:space="preserve"> (14 </w:t>
      </w:r>
      <w:r>
        <w:rPr>
          <w:rFonts w:ascii="Times New Roman" w:hAnsi="Times New Roman" w:cs="Times New Roman"/>
          <w:sz w:val="24"/>
          <w:szCs w:val="24"/>
        </w:rPr>
        <w:t xml:space="preserve">октября 2022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/>
    </w:p>
    <w:p>
      <w:pPr>
        <w:pStyle w:val="877"/>
        <w:numPr>
          <w:ilvl w:val="0"/>
          <w:numId w:val="4"/>
        </w:numPr>
        <w:ind w:left="0" w:right="0" w:firstLine="709"/>
        <w:jc w:val="both"/>
        <w:spacing w:after="0" w:line="360" w:lineRule="auto"/>
        <w:tabs>
          <w:tab w:val="left" w:pos="850" w:leader="none"/>
          <w:tab w:val="left" w:pos="992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Всероссийская научно-практическая конференция на базе РГПУ им.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А.И.Герцена «Педагог и психолог образовательного учреждения: условия эффективного взаимодействия»</w:t>
      </w:r>
      <w:r>
        <w:rPr>
          <w:rFonts w:ascii="Times New Roman" w:hAnsi="Times New Roman" w:cs="Times New Roman"/>
          <w:sz w:val="24"/>
          <w:szCs w:val="24"/>
        </w:rPr>
        <w:t xml:space="preserve"> (8 декабря 2022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/>
    </w:p>
    <w:p>
      <w:pPr>
        <w:pStyle w:val="877"/>
        <w:numPr>
          <w:ilvl w:val="0"/>
          <w:numId w:val="4"/>
        </w:numPr>
        <w:ind w:left="0" w:right="0" w:firstLine="709"/>
        <w:jc w:val="both"/>
        <w:spacing w:after="0" w:line="360" w:lineRule="auto"/>
        <w:tabs>
          <w:tab w:val="left" w:pos="850" w:leader="none"/>
          <w:tab w:val="left" w:pos="992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Участие в работе Виртуального читального зала 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ИДОиР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 РГПУ им. А.И.Герцена с материалами статьи «Внутрикорпоративное обучение, как условие повышения эффективности взаимодействия специалистов образовательной организации» (декабрь, 2022);</w:t>
      </w:r>
      <w:r/>
    </w:p>
    <w:p>
      <w:pPr>
        <w:pStyle w:val="877"/>
        <w:numPr>
          <w:ilvl w:val="0"/>
          <w:numId w:val="4"/>
        </w:numPr>
        <w:ind w:left="0" w:right="0" w:firstLine="709"/>
        <w:jc w:val="both"/>
        <w:spacing w:after="0" w:line="360" w:lineRule="auto"/>
        <w:tabs>
          <w:tab w:val="left" w:pos="850" w:leader="none"/>
          <w:tab w:val="left" w:pos="992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Всероссийская научно-практическая конференция с международным участием,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посвященная 200-летию со дня рождения </w:t>
      </w:r>
      <w:r>
        <w:rPr>
          <w:rFonts w:ascii="Times New Roman" w:hAnsi="Times New Roman" w:cs="Times New Roman"/>
          <w:sz w:val="24"/>
          <w:szCs w:val="24"/>
        </w:rPr>
        <w:t xml:space="preserve">К.Д.Ушинского</w:t>
      </w:r>
      <w:r>
        <w:rPr>
          <w:rFonts w:ascii="Times New Roman" w:hAnsi="Times New Roman" w:cs="Times New Roman"/>
          <w:sz w:val="24"/>
          <w:szCs w:val="24"/>
        </w:rPr>
        <w:t xml:space="preserve">, «</w:t>
      </w:r>
      <w:r>
        <w:rPr>
          <w:rFonts w:ascii="Times New Roman" w:hAnsi="Times New Roman" w:cs="Times New Roman"/>
          <w:sz w:val="24"/>
          <w:szCs w:val="24"/>
        </w:rPr>
        <w:t xml:space="preserve">Герценовские</w:t>
      </w:r>
      <w:r>
        <w:rPr>
          <w:rFonts w:ascii="Times New Roman" w:hAnsi="Times New Roman" w:cs="Times New Roman"/>
          <w:sz w:val="24"/>
          <w:szCs w:val="24"/>
        </w:rPr>
        <w:t xml:space="preserve"> чтения. Современные проблемы дефектологии и реабилитации» </w:t>
      </w:r>
      <w:r>
        <w:rPr>
          <w:rFonts w:ascii="Times New Roman" w:hAnsi="Times New Roman" w:cs="Times New Roman"/>
          <w:sz w:val="24"/>
          <w:szCs w:val="24"/>
        </w:rPr>
        <w:t xml:space="preserve">(30 марта 2023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/>
    </w:p>
    <w:p>
      <w:pPr>
        <w:pStyle w:val="877"/>
        <w:numPr>
          <w:ilvl w:val="0"/>
          <w:numId w:val="4"/>
        </w:numPr>
        <w:ind w:left="0" w:right="0" w:firstLine="709"/>
        <w:jc w:val="both"/>
        <w:spacing w:after="0" w:line="360" w:lineRule="auto"/>
        <w:tabs>
          <w:tab w:val="left" w:pos="850" w:leader="none"/>
          <w:tab w:val="left" w:pos="992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Представление материалов разработанных </w:t>
      </w:r>
      <w:r>
        <w:rPr>
          <w:rFonts w:ascii="Times New Roman" w:hAnsi="Times New Roman" w:cs="Times New Roman"/>
          <w:sz w:val="24"/>
          <w:szCs w:val="24"/>
        </w:rPr>
        <w:t xml:space="preserve">микрокурсов</w:t>
      </w:r>
      <w:r>
        <w:rPr>
          <w:rFonts w:ascii="Times New Roman" w:hAnsi="Times New Roman" w:cs="Times New Roman"/>
          <w:sz w:val="24"/>
          <w:szCs w:val="24"/>
        </w:rPr>
        <w:t xml:space="preserve"> в рамках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bCs/>
          <w:sz w:val="24"/>
          <w:szCs w:val="24"/>
        </w:rPr>
        <w:t xml:space="preserve">П</w:t>
      </w:r>
      <w:r>
        <w:rPr>
          <w:rFonts w:ascii="Times New Roman" w:hAnsi="Times New Roman" w:cs="Times New Roman"/>
          <w:bCs/>
          <w:sz w:val="24"/>
          <w:szCs w:val="24"/>
        </w:rPr>
        <w:t xml:space="preserve">едагогической мозаики» мастер-классов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 Всероссийск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ой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Герценовск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ой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 педагогическ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ой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 олимпиад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ы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 молодых учителей «Профессиональные перспективы» 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(28 марта 2023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 г.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)</w:t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  <w:t xml:space="preserve">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Продолжая </w:t>
      </w:r>
      <w:r>
        <w:rPr>
          <w:rFonts w:ascii="Times New Roman" w:hAnsi="Times New Roman" w:cs="Times New Roman"/>
          <w:sz w:val="24"/>
          <w:szCs w:val="24"/>
        </w:rPr>
        <w:t xml:space="preserve">свою работу, </w:t>
      </w:r>
      <w:r>
        <w:rPr>
          <w:rFonts w:ascii="Times New Roman" w:hAnsi="Times New Roman" w:cs="Times New Roman"/>
          <w:sz w:val="24"/>
          <w:szCs w:val="24"/>
        </w:rPr>
        <w:t xml:space="preserve">мы готовимся </w:t>
      </w:r>
      <w:r>
        <w:rPr>
          <w:rFonts w:ascii="Times New Roman" w:hAnsi="Times New Roman" w:cs="Times New Roman"/>
          <w:sz w:val="24"/>
          <w:szCs w:val="24"/>
        </w:rPr>
        <w:t xml:space="preserve">сделать</w:t>
      </w:r>
      <w:r>
        <w:rPr>
          <w:rFonts w:ascii="Times New Roman" w:hAnsi="Times New Roman" w:cs="Times New Roman"/>
          <w:sz w:val="24"/>
          <w:szCs w:val="24"/>
        </w:rPr>
        <w:t xml:space="preserve"> следующий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третий шаг реализации </w:t>
      </w:r>
      <w:r>
        <w:rPr>
          <w:rFonts w:ascii="Times New Roman" w:hAnsi="Times New Roman" w:cs="Times New Roman"/>
          <w:sz w:val="24"/>
          <w:szCs w:val="24"/>
        </w:rPr>
        <w:t xml:space="preserve">высокофункциональной</w:t>
      </w:r>
      <w:r>
        <w:rPr>
          <w:rFonts w:ascii="Times New Roman" w:hAnsi="Times New Roman" w:cs="Times New Roman"/>
          <w:sz w:val="24"/>
          <w:szCs w:val="24"/>
        </w:rPr>
        <w:t xml:space="preserve"> модели системы корпоративного повышения квалификации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нашей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образовательной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: полномасштабный з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апуск модели в рабочем режиме функционирования и ее тиражирование.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этого мы дорабатываем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модульную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систем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корпоративного повышения квалификации специалистов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систематизируем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омплекс методических мероприятий единого поля методической работы образовательной организации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Проведенная к настоящему времени работа позволяет говорить о ее эффективности для всех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участников: как высокопрофессиональных специалистов, оттачивающих свои компетенции при создании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микрокурсов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так и для вновь вливающихся в коллектив работников, готовящихся стать полноценными участниками жизни образовательной организации. </w:t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Литература:</w:t>
      </w:r>
      <w:r/>
    </w:p>
    <w:p>
      <w:pPr>
        <w:pStyle w:val="877"/>
        <w:numPr>
          <w:ilvl w:val="0"/>
          <w:numId w:val="1"/>
        </w:numPr>
        <w:jc w:val="both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Андреев А.А., Солдаткин В.И. Дистанционное обучение и дистанционные образовательные технологии. // Электронный журнал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Cloud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of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Science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/2013. №1/- </w:t>
      </w:r>
      <w:hyperlink r:id="rId11" w:tooltip="http://cloudofscience.ru" w:history="1">
        <w:r>
          <w:rPr>
            <w:rStyle w:val="883"/>
            <w:rFonts w:ascii="Times New Roman" w:hAnsi="Times New Roman" w:cs="Times New Roman"/>
            <w:sz w:val="24"/>
            <w:szCs w:val="24"/>
            <w:lang w:val="en-US"/>
          </w:rPr>
          <w:t xml:space="preserve">http</w:t>
        </w:r>
        <w:r>
          <w:rPr>
            <w:rStyle w:val="883"/>
            <w:rFonts w:ascii="Times New Roman" w:hAnsi="Times New Roman" w:cs="Times New Roman"/>
            <w:sz w:val="24"/>
            <w:szCs w:val="24"/>
          </w:rPr>
          <w:t xml:space="preserve">://</w:t>
        </w:r>
        <w:r>
          <w:rPr>
            <w:rStyle w:val="883"/>
            <w:rFonts w:ascii="Times New Roman" w:hAnsi="Times New Roman" w:cs="Times New Roman"/>
            <w:sz w:val="24"/>
            <w:szCs w:val="24"/>
            <w:lang w:val="en-US"/>
          </w:rPr>
          <w:t xml:space="preserve">cloudofscience.ru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/>
    </w:p>
    <w:p>
      <w:pPr>
        <w:pStyle w:val="877"/>
        <w:numPr>
          <w:ilvl w:val="0"/>
          <w:numId w:val="1"/>
        </w:numPr>
        <w:jc w:val="both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Антропов А.П., Кудрина С.В.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2" w:tooltip="https://www.elibrary.ru/item.asp?id=27537621" w:history="1">
        <w:r>
          <w:rPr>
            <w:rStyle w:val="88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Адаптированные основные общеобразовательные программы в современных условиях обучения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// </w:t>
      </w:r>
      <w:hyperlink r:id="rId13" w:tooltip="https://www.elibrary.ru/contents.asp?id=34340299" w:history="1">
        <w:r>
          <w:rPr>
            <w:rStyle w:val="88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Специальное образование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2016. </w:t>
      </w:r>
      <w:hyperlink r:id="rId14" w:tooltip="https://www.elibrary.ru/contents.asp?id=34340299&amp;selid=27537621" w:history="1">
        <w:r>
          <w:rPr>
            <w:rStyle w:val="88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№ 4 (44)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С. 5-15.</w:t>
      </w:r>
      <w:r/>
    </w:p>
    <w:p>
      <w:pPr>
        <w:pStyle w:val="877"/>
        <w:numPr>
          <w:ilvl w:val="0"/>
          <w:numId w:val="1"/>
        </w:numPr>
        <w:jc w:val="both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Кахаров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А.С., Ярычев Н.У.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Возможности внутриорганизационного обучения в обеспечении подготовки молодого преподавателя колледжа к проектированию индивидуальной методической системы // Современные проблемы науки и образования. 2012. №4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hppt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//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hyperlink r:id="rId15" w:tooltip="http://www.science-education.ru/pdf/2012/4/333/pdf" w:history="1">
        <w:r>
          <w:rPr>
            <w:rStyle w:val="883"/>
            <w:rFonts w:ascii="Times New Roman" w:hAnsi="Times New Roman" w:cs="Times New Roman"/>
            <w:sz w:val="24"/>
            <w:szCs w:val="24"/>
            <w:lang w:val="en-US"/>
          </w:rPr>
          <w:t xml:space="preserve">www.science-education.ru</w:t>
        </w:r>
        <w:r>
          <w:rPr>
            <w:rStyle w:val="883"/>
            <w:rFonts w:ascii="Times New Roman" w:hAnsi="Times New Roman" w:cs="Times New Roman"/>
            <w:sz w:val="24"/>
            <w:szCs w:val="24"/>
          </w:rPr>
          <w:t xml:space="preserve">/</w:t>
        </w:r>
        <w:r>
          <w:rPr>
            <w:rStyle w:val="883"/>
            <w:rFonts w:ascii="Times New Roman" w:hAnsi="Times New Roman" w:cs="Times New Roman"/>
            <w:sz w:val="24"/>
            <w:szCs w:val="24"/>
            <w:lang w:val="en-US"/>
          </w:rPr>
          <w:t xml:space="preserve">pdf</w:t>
        </w:r>
        <w:r>
          <w:rPr>
            <w:rStyle w:val="883"/>
            <w:rFonts w:ascii="Times New Roman" w:hAnsi="Times New Roman" w:cs="Times New Roman"/>
            <w:sz w:val="24"/>
            <w:szCs w:val="24"/>
          </w:rPr>
          <w:t xml:space="preserve">/</w:t>
        </w:r>
        <w:r>
          <w:rPr>
            <w:rStyle w:val="883"/>
            <w:rFonts w:ascii="Times New Roman" w:hAnsi="Times New Roman" w:cs="Times New Roman"/>
            <w:sz w:val="24"/>
            <w:szCs w:val="24"/>
            <w:lang w:val="en-US"/>
          </w:rPr>
          <w:t xml:space="preserve">2012</w:t>
        </w:r>
        <w:r>
          <w:rPr>
            <w:rStyle w:val="883"/>
            <w:rFonts w:ascii="Times New Roman" w:hAnsi="Times New Roman" w:cs="Times New Roman"/>
            <w:sz w:val="24"/>
            <w:szCs w:val="24"/>
          </w:rPr>
          <w:t xml:space="preserve">/</w:t>
        </w:r>
        <w:r>
          <w:rPr>
            <w:rStyle w:val="883"/>
            <w:rFonts w:ascii="Times New Roman" w:hAnsi="Times New Roman" w:cs="Times New Roman"/>
            <w:sz w:val="24"/>
            <w:szCs w:val="24"/>
            <w:lang w:val="en-US"/>
          </w:rPr>
          <w:t xml:space="preserve">4</w:t>
        </w:r>
        <w:r>
          <w:rPr>
            <w:rStyle w:val="883"/>
            <w:rFonts w:ascii="Times New Roman" w:hAnsi="Times New Roman" w:cs="Times New Roman"/>
            <w:sz w:val="24"/>
            <w:szCs w:val="24"/>
          </w:rPr>
          <w:t xml:space="preserve">/</w:t>
        </w:r>
        <w:r>
          <w:rPr>
            <w:rStyle w:val="883"/>
            <w:rFonts w:ascii="Times New Roman" w:hAnsi="Times New Roman" w:cs="Times New Roman"/>
            <w:sz w:val="24"/>
            <w:szCs w:val="24"/>
            <w:lang w:val="en-US"/>
          </w:rPr>
          <w:t xml:space="preserve">333</w:t>
        </w:r>
        <w:r>
          <w:rPr>
            <w:rStyle w:val="883"/>
            <w:rFonts w:ascii="Times New Roman" w:hAnsi="Times New Roman" w:cs="Times New Roman"/>
            <w:sz w:val="24"/>
            <w:szCs w:val="24"/>
          </w:rPr>
          <w:t xml:space="preserve">/</w:t>
        </w:r>
        <w:r>
          <w:rPr>
            <w:rStyle w:val="883"/>
            <w:rFonts w:ascii="Times New Roman" w:hAnsi="Times New Roman" w:cs="Times New Roman"/>
            <w:sz w:val="24"/>
            <w:szCs w:val="24"/>
            <w:lang w:val="en-US"/>
          </w:rPr>
          <w:t xml:space="preserve">pdf</w:t>
        </w:r>
      </w:hyperlink>
      <w:r/>
      <w:r/>
    </w:p>
    <w:p>
      <w:pPr>
        <w:pStyle w:val="877"/>
        <w:numPr>
          <w:ilvl w:val="0"/>
          <w:numId w:val="1"/>
        </w:numPr>
        <w:jc w:val="both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Кларин М.В. Корпоративное образование: цели и особенности. //Вестник бурятского государственного университета. Образование. Личность. Общество. Вып.1. 2016 - </w:t>
      </w:r>
      <w:hyperlink r:id="rId16" w:tooltip="https://cyberleninka.ru/article/n/korporativnoe-obrazovanie-i-obuchenie-v-organizatsiyah-tseli-i-osobennosti/viewer" w:history="1">
        <w:r>
          <w:rPr>
            <w:rStyle w:val="883"/>
            <w:rFonts w:ascii="Times New Roman" w:hAnsi="Times New Roman" w:cs="Times New Roman"/>
            <w:sz w:val="24"/>
            <w:szCs w:val="24"/>
          </w:rPr>
          <w:t xml:space="preserve">https://cyberleninka.ru/article/n/korporativnoe-obrazovanie-i-obuchenie-v-organizatsiyah-tseli-i-osobennosti/viewer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/>
    </w:p>
    <w:p>
      <w:pPr>
        <w:pStyle w:val="877"/>
        <w:numPr>
          <w:ilvl w:val="0"/>
          <w:numId w:val="1"/>
        </w:numPr>
        <w:jc w:val="both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Корнеев А.Н., Котельникова В.Е. Тенденции в области дистанционного обучения: методы и технологии // Интернет-журнал «НАУКОВЕДЕНИЕ» Том 9, №6 (2017) </w:t>
      </w:r>
      <w:hyperlink r:id="rId17" w:tooltip="https://naukovedenie.ru/pdf/30evn617.pdf" w:history="1">
        <w:r>
          <w:rPr>
            <w:rStyle w:val="883"/>
            <w:rFonts w:ascii="Times New Roman" w:hAnsi="Times New Roman" w:cs="Times New Roman"/>
            <w:sz w:val="24"/>
            <w:szCs w:val="24"/>
          </w:rPr>
          <w:t xml:space="preserve">https://naukovedenie.ru/pdf/30evn617.pdf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/>
    </w:p>
    <w:p>
      <w:pPr>
        <w:pStyle w:val="877"/>
        <w:numPr>
          <w:ilvl w:val="0"/>
          <w:numId w:val="1"/>
        </w:numPr>
        <w:jc w:val="both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Кудрина С.В.,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Шумарина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А.П., Алова Н.Н.,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Римкявичене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О.А., Дмитренко Т.А., Богданова С.Д. </w:t>
      </w:r>
      <w:hyperlink r:id="rId18" w:tooltip="https://www.elibrary.ru/item.asp?id=27551495" w:history="1">
        <w:r>
          <w:rPr>
            <w:rStyle w:val="88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Н</w:t>
        </w:r>
        <w:r>
          <w:rPr>
            <w:rStyle w:val="88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овации в повышении квалификации специалистов, реализующих различные модели дифференцированного и инклюзивного образования детей с</w:t>
        </w:r>
        <w:r>
          <w:rPr>
            <w:rStyle w:val="88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ОВЗ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//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Проблемы и перспективы инклюзивного образования в Ивановской области. материалы II научной конференции. Шмелева Е.А., ответственный редактор. 2016. С. 305-309.</w:t>
      </w:r>
      <w:r/>
    </w:p>
    <w:p>
      <w:pPr>
        <w:pStyle w:val="877"/>
        <w:jc w:val="both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sectPr>
      <w:footerReference w:type="default" r:id="rId9"/>
      <w:footnotePr/>
      <w:endnotePr/>
      <w:type w:val="nextPage"/>
      <w:pgSz w:w="11906" w:h="16838" w:orient="portrait"/>
      <w:pgMar w:top="1134" w:right="1134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524406245"/>
      <w:docPartObj>
        <w:docPartGallery w:val="Page Numbers (Bottom of Page)"/>
        <w:docPartUnique w:val="true"/>
      </w:docPartObj>
      <w:rPr/>
    </w:sdtPr>
    <w:sdtContent>
      <w:p>
        <w:pPr>
          <w:pStyle w:val="89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89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885"/>
      </w:pPr>
      <w:r>
        <w:rPr>
          <w:rStyle w:val="887"/>
        </w:rPr>
        <w:footnoteRef/>
      </w:r>
      <w: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Кахаров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А.С., Ярычев Н.У. Возможности внутриорганизационного обучения в обеспечении подготовки молодого преподавателя колледжа к проектированию индивидуальной методической системы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Кларин М.В. Корпоративное образование: цели и особенности.</w:t>
      </w:r>
      <w:r/>
    </w:p>
  </w:footnote>
  <w:footnote w:id="3">
    <w:p>
      <w:pPr>
        <w:pStyle w:val="885"/>
      </w:pPr>
      <w:r>
        <w:rPr>
          <w:rStyle w:val="887"/>
        </w:rPr>
        <w:footnoteRef/>
      </w:r>
      <w: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Андреев А.А., Солдаткин В.И. Дистанционное обучение и дистанционные образовательные технологии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Антропов А.П., Кудрина С.В. </w:t>
      </w:r>
      <w:hyperlink r:id="rId1" w:tooltip="https://www.elibrary.ru/item.asp?id=27537621" w:history="1">
        <w:r>
          <w:rPr>
            <w:rStyle w:val="88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Адаптированные основные общеобразовательные программы в современных условиях обучения</w:t>
        </w:r>
      </w:hyperlink>
      <w:r/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49" w:hanging="5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1">
    <w:name w:val="Heading 1 Char"/>
    <w:basedOn w:val="871"/>
    <w:link w:val="868"/>
    <w:uiPriority w:val="9"/>
    <w:rPr>
      <w:rFonts w:ascii="Arial" w:hAnsi="Arial" w:eastAsia="Arial" w:cs="Arial"/>
      <w:sz w:val="40"/>
      <w:szCs w:val="40"/>
    </w:rPr>
  </w:style>
  <w:style w:type="character" w:styleId="702">
    <w:name w:val="Heading 2 Char"/>
    <w:basedOn w:val="871"/>
    <w:link w:val="869"/>
    <w:uiPriority w:val="9"/>
    <w:rPr>
      <w:rFonts w:ascii="Arial" w:hAnsi="Arial" w:eastAsia="Arial" w:cs="Arial"/>
      <w:sz w:val="34"/>
    </w:rPr>
  </w:style>
  <w:style w:type="character" w:styleId="703">
    <w:name w:val="Heading 3 Char"/>
    <w:basedOn w:val="871"/>
    <w:link w:val="870"/>
    <w:uiPriority w:val="9"/>
    <w:rPr>
      <w:rFonts w:ascii="Arial" w:hAnsi="Arial" w:eastAsia="Arial" w:cs="Arial"/>
      <w:sz w:val="30"/>
      <w:szCs w:val="30"/>
    </w:rPr>
  </w:style>
  <w:style w:type="paragraph" w:styleId="704">
    <w:name w:val="Heading 4"/>
    <w:basedOn w:val="867"/>
    <w:next w:val="867"/>
    <w:link w:val="70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5">
    <w:name w:val="Heading 4 Char"/>
    <w:basedOn w:val="871"/>
    <w:link w:val="704"/>
    <w:uiPriority w:val="9"/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867"/>
    <w:next w:val="867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7">
    <w:name w:val="Heading 5 Char"/>
    <w:basedOn w:val="871"/>
    <w:link w:val="706"/>
    <w:uiPriority w:val="9"/>
    <w:rPr>
      <w:rFonts w:ascii="Arial" w:hAnsi="Arial" w:eastAsia="Arial" w:cs="Arial"/>
      <w:b/>
      <w:bCs/>
      <w:sz w:val="24"/>
      <w:szCs w:val="24"/>
    </w:rPr>
  </w:style>
  <w:style w:type="paragraph" w:styleId="708">
    <w:name w:val="Heading 6"/>
    <w:basedOn w:val="867"/>
    <w:next w:val="867"/>
    <w:link w:val="70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9">
    <w:name w:val="Heading 6 Char"/>
    <w:basedOn w:val="871"/>
    <w:link w:val="708"/>
    <w:uiPriority w:val="9"/>
    <w:rPr>
      <w:rFonts w:ascii="Arial" w:hAnsi="Arial" w:eastAsia="Arial" w:cs="Arial"/>
      <w:b/>
      <w:bCs/>
      <w:sz w:val="22"/>
      <w:szCs w:val="22"/>
    </w:rPr>
  </w:style>
  <w:style w:type="paragraph" w:styleId="710">
    <w:name w:val="Heading 7"/>
    <w:basedOn w:val="867"/>
    <w:next w:val="867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1">
    <w:name w:val="Heading 7 Char"/>
    <w:basedOn w:val="871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2">
    <w:name w:val="Heading 8"/>
    <w:basedOn w:val="867"/>
    <w:next w:val="867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3">
    <w:name w:val="Heading 8 Char"/>
    <w:basedOn w:val="871"/>
    <w:link w:val="712"/>
    <w:uiPriority w:val="9"/>
    <w:rPr>
      <w:rFonts w:ascii="Arial" w:hAnsi="Arial" w:eastAsia="Arial" w:cs="Arial"/>
      <w:i/>
      <w:iCs/>
      <w:sz w:val="22"/>
      <w:szCs w:val="22"/>
    </w:rPr>
  </w:style>
  <w:style w:type="paragraph" w:styleId="714">
    <w:name w:val="Heading 9"/>
    <w:basedOn w:val="867"/>
    <w:next w:val="867"/>
    <w:link w:val="71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5">
    <w:name w:val="Heading 9 Char"/>
    <w:basedOn w:val="871"/>
    <w:link w:val="714"/>
    <w:uiPriority w:val="9"/>
    <w:rPr>
      <w:rFonts w:ascii="Arial" w:hAnsi="Arial" w:eastAsia="Arial" w:cs="Arial"/>
      <w:i/>
      <w:iCs/>
      <w:sz w:val="21"/>
      <w:szCs w:val="21"/>
    </w:rPr>
  </w:style>
  <w:style w:type="character" w:styleId="716">
    <w:name w:val="Title Char"/>
    <w:basedOn w:val="871"/>
    <w:link w:val="878"/>
    <w:uiPriority w:val="10"/>
    <w:rPr>
      <w:sz w:val="48"/>
      <w:szCs w:val="48"/>
    </w:rPr>
  </w:style>
  <w:style w:type="paragraph" w:styleId="717">
    <w:name w:val="Subtitle"/>
    <w:basedOn w:val="867"/>
    <w:next w:val="867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>
    <w:name w:val="Subtitle Char"/>
    <w:basedOn w:val="871"/>
    <w:link w:val="717"/>
    <w:uiPriority w:val="11"/>
    <w:rPr>
      <w:sz w:val="24"/>
      <w:szCs w:val="24"/>
    </w:rPr>
  </w:style>
  <w:style w:type="paragraph" w:styleId="719">
    <w:name w:val="Quote"/>
    <w:basedOn w:val="867"/>
    <w:next w:val="867"/>
    <w:link w:val="720"/>
    <w:uiPriority w:val="29"/>
    <w:qFormat/>
    <w:pPr>
      <w:ind w:left="720" w:right="720"/>
    </w:pPr>
    <w:rPr>
      <w:i/>
    </w:rPr>
  </w:style>
  <w:style w:type="character" w:styleId="720">
    <w:name w:val="Quote Char"/>
    <w:link w:val="719"/>
    <w:uiPriority w:val="29"/>
    <w:rPr>
      <w:i/>
    </w:rPr>
  </w:style>
  <w:style w:type="paragraph" w:styleId="721">
    <w:name w:val="Intense Quote"/>
    <w:basedOn w:val="867"/>
    <w:next w:val="867"/>
    <w:link w:val="72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>
    <w:name w:val="Intense Quote Char"/>
    <w:link w:val="721"/>
    <w:uiPriority w:val="30"/>
    <w:rPr>
      <w:i/>
    </w:rPr>
  </w:style>
  <w:style w:type="character" w:styleId="723">
    <w:name w:val="Header Char"/>
    <w:basedOn w:val="871"/>
    <w:link w:val="888"/>
    <w:uiPriority w:val="99"/>
  </w:style>
  <w:style w:type="character" w:styleId="724">
    <w:name w:val="Footer Char"/>
    <w:basedOn w:val="871"/>
    <w:link w:val="890"/>
    <w:uiPriority w:val="99"/>
  </w:style>
  <w:style w:type="paragraph" w:styleId="725">
    <w:name w:val="Caption"/>
    <w:basedOn w:val="867"/>
    <w:next w:val="8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6">
    <w:name w:val="Caption Char"/>
    <w:basedOn w:val="725"/>
    <w:link w:val="890"/>
    <w:uiPriority w:val="99"/>
  </w:style>
  <w:style w:type="table" w:styleId="727">
    <w:name w:val="Table Grid"/>
    <w:basedOn w:val="87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Table Grid Light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>
    <w:name w:val="Plain Table 1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2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>
    <w:name w:val="Plain Table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Plain Table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>
    <w:name w:val="Grid Table 1 Light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4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>
    <w:name w:val="Grid Table 4 - Accent 1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7">
    <w:name w:val="Grid Table 4 - Accent 2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8">
    <w:name w:val="Grid Table 4 - Accent 3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9">
    <w:name w:val="Grid Table 4 - Accent 4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0">
    <w:name w:val="Grid Table 4 - Accent 5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1">
    <w:name w:val="Grid Table 4 - Accent 6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2">
    <w:name w:val="Grid Table 5 Dark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6">
    <w:name w:val="Grid Table 5 Dark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9">
    <w:name w:val="Grid Table 6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0">
    <w:name w:val="Grid Table 6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1">
    <w:name w:val="Grid Table 6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2">
    <w:name w:val="Grid Table 6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3">
    <w:name w:val="Grid Table 6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4">
    <w:name w:val="Grid Table 6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6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6">
    <w:name w:val="Grid Table 7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1">
    <w:name w:val="List Table 2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2">
    <w:name w:val="List Table 2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3">
    <w:name w:val="List Table 2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4">
    <w:name w:val="List Table 2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5">
    <w:name w:val="List Table 2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6">
    <w:name w:val="List Table 2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7">
    <w:name w:val="List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5 Dark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6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9">
    <w:name w:val="List Table 6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0">
    <w:name w:val="List Table 6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1">
    <w:name w:val="List Table 6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2">
    <w:name w:val="List Table 6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3">
    <w:name w:val="List Table 6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4">
    <w:name w:val="List Table 6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5">
    <w:name w:val="List Table 7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6">
    <w:name w:val="List Table 7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27">
    <w:name w:val="List Table 7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8">
    <w:name w:val="List Table 7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9">
    <w:name w:val="List Table 7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30">
    <w:name w:val="List Table 7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31">
    <w:name w:val="List Table 7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32">
    <w:name w:val="Lined - Accent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Lined - Accent 1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34">
    <w:name w:val="Lined - Accent 2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5">
    <w:name w:val="Lined - Accent 3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6">
    <w:name w:val="Lined - Accent 4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7">
    <w:name w:val="Lined - Accent 5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38">
    <w:name w:val="Lined - Accent 6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9">
    <w:name w:val="Bordered &amp; Lined - Accent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Bordered &amp; Lined - Accent 1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41">
    <w:name w:val="Bordered &amp; Lined - Accent 2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2">
    <w:name w:val="Bordered &amp; Lined - Accent 3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3">
    <w:name w:val="Bordered &amp; Lined - Accent 4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4">
    <w:name w:val="Bordered &amp; Lined - Accent 5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45">
    <w:name w:val="Bordered &amp; Lined - Accent 6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6">
    <w:name w:val="Bordered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7">
    <w:name w:val="Bordered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8">
    <w:name w:val="Bordered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9">
    <w:name w:val="Bordered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0">
    <w:name w:val="Bordered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1">
    <w:name w:val="Bordered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2">
    <w:name w:val="Bordered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3">
    <w:name w:val="Footnote Text Char"/>
    <w:link w:val="885"/>
    <w:uiPriority w:val="99"/>
    <w:rPr>
      <w:sz w:val="18"/>
    </w:rPr>
  </w:style>
  <w:style w:type="paragraph" w:styleId="854">
    <w:name w:val="endnote text"/>
    <w:basedOn w:val="867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>
    <w:name w:val="Endnote Text Char"/>
    <w:link w:val="854"/>
    <w:uiPriority w:val="99"/>
    <w:rPr>
      <w:sz w:val="20"/>
    </w:rPr>
  </w:style>
  <w:style w:type="character" w:styleId="856">
    <w:name w:val="endnote reference"/>
    <w:basedOn w:val="871"/>
    <w:uiPriority w:val="99"/>
    <w:semiHidden/>
    <w:unhideWhenUsed/>
    <w:rPr>
      <w:vertAlign w:val="superscript"/>
    </w:rPr>
  </w:style>
  <w:style w:type="paragraph" w:styleId="857">
    <w:name w:val="toc 1"/>
    <w:basedOn w:val="867"/>
    <w:next w:val="867"/>
    <w:uiPriority w:val="39"/>
    <w:unhideWhenUsed/>
    <w:pPr>
      <w:ind w:left="0" w:right="0" w:firstLine="0"/>
      <w:spacing w:after="57"/>
    </w:pPr>
  </w:style>
  <w:style w:type="paragraph" w:styleId="858">
    <w:name w:val="toc 2"/>
    <w:basedOn w:val="867"/>
    <w:next w:val="867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7"/>
    <w:next w:val="867"/>
    <w:uiPriority w:val="39"/>
    <w:unhideWhenUsed/>
    <w:pPr>
      <w:ind w:left="567" w:right="0" w:firstLine="0"/>
      <w:spacing w:after="57"/>
    </w:pPr>
  </w:style>
  <w:style w:type="paragraph" w:styleId="860">
    <w:name w:val="toc 4"/>
    <w:basedOn w:val="867"/>
    <w:next w:val="867"/>
    <w:uiPriority w:val="39"/>
    <w:unhideWhenUsed/>
    <w:pPr>
      <w:ind w:left="850" w:right="0" w:firstLine="0"/>
      <w:spacing w:after="57"/>
    </w:pPr>
  </w:style>
  <w:style w:type="paragraph" w:styleId="861">
    <w:name w:val="toc 5"/>
    <w:basedOn w:val="867"/>
    <w:next w:val="867"/>
    <w:uiPriority w:val="39"/>
    <w:unhideWhenUsed/>
    <w:pPr>
      <w:ind w:left="1134" w:right="0" w:firstLine="0"/>
      <w:spacing w:after="57"/>
    </w:pPr>
  </w:style>
  <w:style w:type="paragraph" w:styleId="862">
    <w:name w:val="toc 6"/>
    <w:basedOn w:val="867"/>
    <w:next w:val="867"/>
    <w:uiPriority w:val="39"/>
    <w:unhideWhenUsed/>
    <w:pPr>
      <w:ind w:left="1417" w:right="0" w:firstLine="0"/>
      <w:spacing w:after="57"/>
    </w:pPr>
  </w:style>
  <w:style w:type="paragraph" w:styleId="863">
    <w:name w:val="toc 7"/>
    <w:basedOn w:val="867"/>
    <w:next w:val="867"/>
    <w:uiPriority w:val="39"/>
    <w:unhideWhenUsed/>
    <w:pPr>
      <w:ind w:left="1701" w:right="0" w:firstLine="0"/>
      <w:spacing w:after="57"/>
    </w:pPr>
  </w:style>
  <w:style w:type="paragraph" w:styleId="864">
    <w:name w:val="toc 8"/>
    <w:basedOn w:val="867"/>
    <w:next w:val="867"/>
    <w:uiPriority w:val="39"/>
    <w:unhideWhenUsed/>
    <w:pPr>
      <w:ind w:left="1984" w:right="0" w:firstLine="0"/>
      <w:spacing w:after="57"/>
    </w:pPr>
  </w:style>
  <w:style w:type="paragraph" w:styleId="865">
    <w:name w:val="toc 9"/>
    <w:basedOn w:val="867"/>
    <w:next w:val="867"/>
    <w:uiPriority w:val="39"/>
    <w:unhideWhenUsed/>
    <w:pPr>
      <w:ind w:left="2268" w:right="0" w:firstLine="0"/>
      <w:spacing w:after="57"/>
    </w:pPr>
  </w:style>
  <w:style w:type="paragraph" w:styleId="866">
    <w:name w:val="table of figures"/>
    <w:basedOn w:val="867"/>
    <w:next w:val="867"/>
    <w:uiPriority w:val="99"/>
    <w:unhideWhenUsed/>
    <w:pPr>
      <w:spacing w:after="0" w:afterAutospacing="0"/>
    </w:pPr>
  </w:style>
  <w:style w:type="paragraph" w:styleId="867" w:default="1">
    <w:name w:val="Normal"/>
    <w:qFormat/>
  </w:style>
  <w:style w:type="paragraph" w:styleId="868">
    <w:name w:val="Heading 1"/>
    <w:basedOn w:val="867"/>
    <w:next w:val="867"/>
    <w:link w:val="874"/>
    <w:uiPriority w:val="9"/>
    <w:qFormat/>
    <w:pPr>
      <w:keepLines/>
      <w:keepNext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69">
    <w:name w:val="Heading 2"/>
    <w:basedOn w:val="867"/>
    <w:next w:val="867"/>
    <w:link w:val="875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472c4" w:themeColor="accent1"/>
      <w:sz w:val="26"/>
      <w:szCs w:val="26"/>
    </w:rPr>
  </w:style>
  <w:style w:type="paragraph" w:styleId="870">
    <w:name w:val="Heading 3"/>
    <w:basedOn w:val="867"/>
    <w:next w:val="867"/>
    <w:link w:val="876"/>
    <w:uiPriority w:val="9"/>
    <w:semiHidden/>
    <w:unhideWhenUsed/>
    <w:qFormat/>
    <w:pPr>
      <w:keepLines/>
      <w:keepNext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472c4" w:themeColor="accent1"/>
    </w:rPr>
  </w:style>
  <w:style w:type="character" w:styleId="871" w:default="1">
    <w:name w:val="Default Paragraph Font"/>
    <w:uiPriority w:val="1"/>
    <w:semiHidden/>
    <w:unhideWhenUsed/>
  </w:style>
  <w:style w:type="table" w:styleId="8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3" w:default="1">
    <w:name w:val="No List"/>
    <w:uiPriority w:val="99"/>
    <w:semiHidden/>
    <w:unhideWhenUsed/>
  </w:style>
  <w:style w:type="character" w:styleId="874" w:customStyle="1">
    <w:name w:val="Заголовок 1 Знак"/>
    <w:basedOn w:val="871"/>
    <w:link w:val="868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75" w:customStyle="1">
    <w:name w:val="Заголовок 2 Знак"/>
    <w:basedOn w:val="871"/>
    <w:link w:val="869"/>
    <w:uiPriority w:val="9"/>
    <w:semiHidden/>
    <w:rPr>
      <w:rFonts w:asciiTheme="majorHAnsi" w:hAnsiTheme="majorHAnsi" w:eastAsiaTheme="majorEastAsia" w:cstheme="majorBidi"/>
      <w:b/>
      <w:bCs/>
      <w:color w:val="4472c4" w:themeColor="accent1"/>
      <w:sz w:val="26"/>
      <w:szCs w:val="26"/>
    </w:rPr>
  </w:style>
  <w:style w:type="character" w:styleId="876" w:customStyle="1">
    <w:name w:val="Заголовок 3 Знак"/>
    <w:basedOn w:val="871"/>
    <w:link w:val="870"/>
    <w:uiPriority w:val="9"/>
    <w:semiHidden/>
    <w:rPr>
      <w:rFonts w:asciiTheme="majorHAnsi" w:hAnsiTheme="majorHAnsi" w:eastAsiaTheme="majorEastAsia" w:cstheme="majorBidi"/>
      <w:b/>
      <w:bCs/>
      <w:color w:val="4472c4" w:themeColor="accent1"/>
    </w:rPr>
  </w:style>
  <w:style w:type="paragraph" w:styleId="877">
    <w:name w:val="List Paragraph"/>
    <w:basedOn w:val="867"/>
    <w:uiPriority w:val="34"/>
    <w:qFormat/>
    <w:pPr>
      <w:contextualSpacing/>
      <w:ind w:left="720"/>
    </w:pPr>
  </w:style>
  <w:style w:type="paragraph" w:styleId="878">
    <w:name w:val="Title"/>
    <w:basedOn w:val="867"/>
    <w:next w:val="867"/>
    <w:link w:val="881"/>
    <w:uiPriority w:val="10"/>
    <w:qFormat/>
    <w:pPr>
      <w:contextualSpacing/>
      <w:spacing w:after="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79" w:customStyle="1">
    <w:name w:val="Название Знак"/>
    <w:basedOn w:val="871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8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character" w:styleId="881" w:customStyle="1">
    <w:name w:val="Заголовок Знак"/>
    <w:basedOn w:val="871"/>
    <w:link w:val="878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82">
    <w:name w:val="TOC Heading"/>
    <w:basedOn w:val="868"/>
    <w:next w:val="867"/>
    <w:uiPriority w:val="39"/>
    <w:unhideWhenUsed/>
    <w:qFormat/>
    <w:pPr>
      <w:outlineLvl w:val="9"/>
    </w:pPr>
    <w:rPr>
      <w:lang w:eastAsia="ru-RU"/>
    </w:rPr>
  </w:style>
  <w:style w:type="character" w:styleId="883">
    <w:name w:val="Hyperlink"/>
    <w:basedOn w:val="871"/>
    <w:uiPriority w:val="99"/>
    <w:unhideWhenUsed/>
    <w:rPr>
      <w:color w:val="0000ff"/>
      <w:u w:val="single"/>
    </w:rPr>
  </w:style>
  <w:style w:type="paragraph" w:styleId="884" w:customStyle="1">
    <w:name w:val="ConsPlusNormal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85">
    <w:name w:val="footnote text"/>
    <w:basedOn w:val="867"/>
    <w:link w:val="88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886" w:customStyle="1">
    <w:name w:val="Текст сноски Знак"/>
    <w:basedOn w:val="871"/>
    <w:link w:val="885"/>
    <w:uiPriority w:val="99"/>
    <w:semiHidden/>
    <w:rPr>
      <w:sz w:val="20"/>
      <w:szCs w:val="20"/>
    </w:rPr>
  </w:style>
  <w:style w:type="character" w:styleId="887">
    <w:name w:val="footnote reference"/>
    <w:basedOn w:val="871"/>
    <w:uiPriority w:val="99"/>
    <w:semiHidden/>
    <w:unhideWhenUsed/>
    <w:rPr>
      <w:vertAlign w:val="superscript"/>
    </w:rPr>
  </w:style>
  <w:style w:type="paragraph" w:styleId="888">
    <w:name w:val="Header"/>
    <w:basedOn w:val="867"/>
    <w:link w:val="88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9" w:customStyle="1">
    <w:name w:val="Верхний колонтитул Знак"/>
    <w:basedOn w:val="871"/>
    <w:link w:val="888"/>
    <w:uiPriority w:val="99"/>
  </w:style>
  <w:style w:type="paragraph" w:styleId="890">
    <w:name w:val="Footer"/>
    <w:basedOn w:val="867"/>
    <w:link w:val="89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1" w:customStyle="1">
    <w:name w:val="Нижний колонтитул Знак"/>
    <w:basedOn w:val="871"/>
    <w:link w:val="890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hyperlink" Target="http://cloudofscience.ru" TargetMode="External"/><Relationship Id="rId12" Type="http://schemas.openxmlformats.org/officeDocument/2006/relationships/hyperlink" Target="https://www.elibrary.ru/item.asp?id=27537621" TargetMode="External"/><Relationship Id="rId13" Type="http://schemas.openxmlformats.org/officeDocument/2006/relationships/hyperlink" Target="https://www.elibrary.ru/contents.asp?id=34340299" TargetMode="External"/><Relationship Id="rId14" Type="http://schemas.openxmlformats.org/officeDocument/2006/relationships/hyperlink" Target="https://www.elibrary.ru/contents.asp?id=34340299&amp;selid=27537621" TargetMode="External"/><Relationship Id="rId15" Type="http://schemas.openxmlformats.org/officeDocument/2006/relationships/hyperlink" Target="http://www.science-education.ru/pdf/2012/4/333/pdf" TargetMode="External"/><Relationship Id="rId16" Type="http://schemas.openxmlformats.org/officeDocument/2006/relationships/hyperlink" Target="https://cyberleninka.ru/article/n/korporativnoe-obrazovanie-i-obuchenie-v-organizatsiyah-tseli-i-osobennosti/viewer" TargetMode="External"/><Relationship Id="rId17" Type="http://schemas.openxmlformats.org/officeDocument/2006/relationships/hyperlink" Target="https://naukovedenie.ru/pdf/30evn617.pdf" TargetMode="External"/><Relationship Id="rId18" Type="http://schemas.openxmlformats.org/officeDocument/2006/relationships/hyperlink" Target="https://www.elibrary.ru/item.asp?id=2755149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Relationship Id="rId1" Type="http://schemas.openxmlformats.org/officeDocument/2006/relationships/hyperlink" Target="https://www.elibrary.ru/item.asp?id=27537621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DE5B3-B20A-4102-A7AC-B6CEF1AE8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revision>7</cp:revision>
  <dcterms:created xsi:type="dcterms:W3CDTF">2023-05-11T08:08:00Z</dcterms:created>
  <dcterms:modified xsi:type="dcterms:W3CDTF">2023-05-25T11:12:23Z</dcterms:modified>
</cp:coreProperties>
</file>