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35" w:rsidRPr="00366312" w:rsidRDefault="00296135" w:rsidP="00296135">
      <w:pPr>
        <w:spacing w:line="360" w:lineRule="auto"/>
        <w:jc w:val="both"/>
      </w:pPr>
      <w:r w:rsidRPr="00366312">
        <w:t>Гапон Тамара Васильевна</w:t>
      </w:r>
    </w:p>
    <w:p w:rsidR="00296135" w:rsidRPr="00366312" w:rsidRDefault="00296135" w:rsidP="00296135">
      <w:pPr>
        <w:spacing w:line="360" w:lineRule="auto"/>
        <w:jc w:val="both"/>
      </w:pPr>
      <w:r w:rsidRPr="00366312">
        <w:t>Учитель математики, высшая квалификационная категория.</w:t>
      </w:r>
    </w:p>
    <w:p w:rsidR="00296135" w:rsidRPr="00366312" w:rsidRDefault="00296135" w:rsidP="00296135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ГБОУ СОШ</w:t>
      </w:r>
      <w:r w:rsidRPr="00366312">
        <w:rPr>
          <w:bCs/>
          <w:iCs/>
        </w:rPr>
        <w:t xml:space="preserve"> № 303 с углублённым изучением немецкого языка и предметов художественно-эстетического цикла имени Фридриха Шиллера</w:t>
      </w:r>
      <w:r>
        <w:rPr>
          <w:bCs/>
          <w:iCs/>
        </w:rPr>
        <w:t xml:space="preserve">, </w:t>
      </w:r>
      <w:r w:rsidRPr="00366312">
        <w:rPr>
          <w:bCs/>
          <w:iCs/>
        </w:rPr>
        <w:t>Фрунзенского района Санкт–Петербурга.</w:t>
      </w:r>
    </w:p>
    <w:p w:rsidR="00296135" w:rsidRPr="00366312" w:rsidRDefault="00296135" w:rsidP="00296135">
      <w:pPr>
        <w:spacing w:line="360" w:lineRule="auto"/>
        <w:jc w:val="both"/>
      </w:pPr>
      <w:r>
        <w:t>Соколова Светлана Николаевна</w:t>
      </w:r>
    </w:p>
    <w:p w:rsidR="00296135" w:rsidRPr="00366312" w:rsidRDefault="00296135" w:rsidP="00296135">
      <w:pPr>
        <w:spacing w:line="360" w:lineRule="auto"/>
        <w:jc w:val="both"/>
      </w:pPr>
      <w:r w:rsidRPr="00366312">
        <w:t>Учитель математики, высшая квалификационная категория</w:t>
      </w:r>
    </w:p>
    <w:p w:rsidR="00296135" w:rsidRPr="00366312" w:rsidRDefault="00296135" w:rsidP="00296135">
      <w:pPr>
        <w:spacing w:line="360" w:lineRule="auto"/>
        <w:jc w:val="both"/>
      </w:pPr>
      <w:r>
        <w:rPr>
          <w:bCs/>
          <w:iCs/>
        </w:rPr>
        <w:t xml:space="preserve">ГБОУ СОШ </w:t>
      </w:r>
      <w:r w:rsidRPr="00366312">
        <w:rPr>
          <w:bCs/>
          <w:iCs/>
        </w:rPr>
        <w:t>№ 303 с углублённым изучением немецкого языка и предметов художественно-эстетического цикла имени Фридриха Шиллера</w:t>
      </w:r>
      <w:r>
        <w:rPr>
          <w:bCs/>
          <w:iCs/>
        </w:rPr>
        <w:t>,</w:t>
      </w:r>
      <w:r w:rsidRPr="00366312">
        <w:rPr>
          <w:bCs/>
          <w:iCs/>
        </w:rPr>
        <w:t xml:space="preserve"> Фрунзенского района Санкт–Петербурга.</w:t>
      </w:r>
    </w:p>
    <w:p w:rsidR="00296135" w:rsidRPr="00366312" w:rsidRDefault="00296135" w:rsidP="00296135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sz w:val="28"/>
          <w:szCs w:val="28"/>
        </w:rPr>
      </w:pPr>
      <w:r w:rsidRPr="00366312">
        <w:rPr>
          <w:rFonts w:eastAsia="TimesNewRomanPS-BoldMT"/>
          <w:b/>
          <w:bCs/>
          <w:sz w:val="28"/>
          <w:szCs w:val="28"/>
        </w:rPr>
        <w:t xml:space="preserve">Технологии формирования </w:t>
      </w:r>
      <w:proofErr w:type="spellStart"/>
      <w:r w:rsidRPr="00366312">
        <w:rPr>
          <w:rFonts w:eastAsia="TimesNewRomanPS-BoldMT"/>
          <w:b/>
          <w:bCs/>
          <w:sz w:val="28"/>
          <w:szCs w:val="28"/>
        </w:rPr>
        <w:t>метапредметных</w:t>
      </w:r>
      <w:proofErr w:type="spellEnd"/>
      <w:r w:rsidRPr="00366312">
        <w:rPr>
          <w:rFonts w:eastAsia="TimesNewRomanPS-BoldMT"/>
          <w:b/>
          <w:bCs/>
          <w:sz w:val="28"/>
          <w:szCs w:val="28"/>
        </w:rPr>
        <w:t xml:space="preserve"> компетенций во внеурочной деятельности по математике в рамках реализации ФГОС ООО</w:t>
      </w:r>
    </w:p>
    <w:p w:rsidR="00296135" w:rsidRPr="00366312" w:rsidRDefault="00296135" w:rsidP="00296135">
      <w:pPr>
        <w:spacing w:line="360" w:lineRule="auto"/>
        <w:ind w:left="680" w:right="680" w:firstLine="709"/>
        <w:jc w:val="both"/>
        <w:rPr>
          <w:i/>
          <w:iCs/>
          <w:color w:val="000000"/>
        </w:rPr>
      </w:pPr>
      <w:r w:rsidRPr="00366312">
        <w:rPr>
          <w:i/>
          <w:iCs/>
          <w:color w:val="000000"/>
          <w:spacing w:val="14"/>
        </w:rPr>
        <w:t>В настоящей статье</w:t>
      </w:r>
      <w:r w:rsidRPr="00366312">
        <w:rPr>
          <w:i/>
        </w:rPr>
        <w:t xml:space="preserve"> рассмотрены цели и задачи внеурочной деятельности в рамках введения ФГОС ООО нового поколения. </w:t>
      </w:r>
      <w:r w:rsidRPr="00366312">
        <w:rPr>
          <w:i/>
          <w:iCs/>
          <w:color w:val="000000"/>
          <w:spacing w:val="14"/>
        </w:rPr>
        <w:t>Описаны</w:t>
      </w:r>
      <w:r w:rsidRPr="00366312">
        <w:rPr>
          <w:i/>
        </w:rPr>
        <w:t xml:space="preserve"> технологии, которые являются на</w:t>
      </w:r>
      <w:r w:rsidR="008E05E0">
        <w:rPr>
          <w:i/>
        </w:rPr>
        <w:t>иболее эффективными в развитии метапредметных</w:t>
      </w:r>
      <w:r w:rsidRPr="00366312">
        <w:rPr>
          <w:i/>
        </w:rPr>
        <w:t xml:space="preserve"> компетенций. </w:t>
      </w:r>
      <w:r w:rsidRPr="00366312">
        <w:rPr>
          <w:i/>
          <w:iCs/>
          <w:color w:val="000000"/>
          <w:spacing w:val="6"/>
        </w:rPr>
        <w:t xml:space="preserve">В </w:t>
      </w:r>
      <w:r w:rsidRPr="00366312">
        <w:rPr>
          <w:i/>
          <w:iCs/>
          <w:color w:val="000000"/>
        </w:rPr>
        <w:t xml:space="preserve">качестве примеров авторами приведены различные методы работы </w:t>
      </w:r>
      <w:proofErr w:type="gramStart"/>
      <w:r w:rsidRPr="00366312">
        <w:rPr>
          <w:i/>
          <w:iCs/>
          <w:color w:val="000000"/>
        </w:rPr>
        <w:t>с</w:t>
      </w:r>
      <w:proofErr w:type="gramEnd"/>
      <w:r w:rsidRPr="00366312">
        <w:rPr>
          <w:i/>
          <w:iCs/>
          <w:color w:val="000000"/>
        </w:rPr>
        <w:t xml:space="preserve"> обучающимися.</w:t>
      </w:r>
    </w:p>
    <w:p w:rsidR="00296135" w:rsidRPr="00366312" w:rsidRDefault="00296135" w:rsidP="00296135">
      <w:pPr>
        <w:spacing w:line="360" w:lineRule="auto"/>
        <w:ind w:firstLine="709"/>
        <w:jc w:val="right"/>
      </w:pPr>
      <w:r w:rsidRPr="00366312">
        <w:t>Скажи мне, и я забуду.</w:t>
      </w:r>
    </w:p>
    <w:p w:rsidR="00296135" w:rsidRPr="00366312" w:rsidRDefault="00296135" w:rsidP="00296135">
      <w:pPr>
        <w:spacing w:line="360" w:lineRule="auto"/>
        <w:ind w:firstLine="709"/>
        <w:jc w:val="right"/>
      </w:pPr>
      <w:r w:rsidRPr="00366312">
        <w:t>Покажи мне, и я запомню.</w:t>
      </w:r>
    </w:p>
    <w:p w:rsidR="00296135" w:rsidRPr="00366312" w:rsidRDefault="00296135" w:rsidP="00296135">
      <w:pPr>
        <w:spacing w:line="360" w:lineRule="auto"/>
        <w:ind w:firstLine="709"/>
        <w:jc w:val="right"/>
      </w:pPr>
      <w:r w:rsidRPr="00366312">
        <w:t>Дай мне действовать самому</w:t>
      </w:r>
      <w:r w:rsidR="00021A97">
        <w:t>,</w:t>
      </w:r>
    </w:p>
    <w:p w:rsidR="00296135" w:rsidRPr="00366312" w:rsidRDefault="00296135" w:rsidP="00296135">
      <w:pPr>
        <w:spacing w:line="360" w:lineRule="auto"/>
        <w:ind w:firstLine="709"/>
        <w:jc w:val="right"/>
      </w:pPr>
      <w:r w:rsidRPr="00366312">
        <w:t>и я научусь.</w:t>
      </w:r>
    </w:p>
    <w:p w:rsidR="00296135" w:rsidRPr="00366312" w:rsidRDefault="00296135" w:rsidP="00296135">
      <w:pPr>
        <w:spacing w:line="360" w:lineRule="auto"/>
        <w:ind w:firstLine="709"/>
        <w:jc w:val="right"/>
      </w:pPr>
      <w:r w:rsidRPr="00366312">
        <w:t>Конфуций</w:t>
      </w:r>
    </w:p>
    <w:p w:rsidR="00296135" w:rsidRPr="00366312" w:rsidRDefault="00296135" w:rsidP="00296135">
      <w:pPr>
        <w:shd w:val="clear" w:color="auto" w:fill="FFFFFF"/>
        <w:spacing w:line="360" w:lineRule="auto"/>
        <w:ind w:firstLine="709"/>
        <w:jc w:val="both"/>
      </w:pPr>
      <w:r w:rsidRPr="00366312">
        <w:t>Одной из ключевых идей  ФГОС ООО второго поколения является формирование компетенций, проявляющихся в умении учащихся интегрировать, переносить и использовать знания в различных жизненных с</w:t>
      </w:r>
      <w:r w:rsidR="00021A97">
        <w:t xml:space="preserve">итуациях.  В условиях введения </w:t>
      </w:r>
      <w:r w:rsidRPr="00366312">
        <w:t xml:space="preserve">нового стандарта особое внимание в организации внеурочной деятельности акцентируется на  достижении </w:t>
      </w:r>
      <w:r w:rsidRPr="00366312">
        <w:rPr>
          <w:bCs/>
          <w:iCs/>
        </w:rPr>
        <w:t xml:space="preserve">личностных </w:t>
      </w:r>
      <w:r w:rsidRPr="00366312">
        <w:t xml:space="preserve">и </w:t>
      </w:r>
      <w:r w:rsidRPr="00366312">
        <w:rPr>
          <w:bCs/>
          <w:iCs/>
        </w:rPr>
        <w:t xml:space="preserve">метапредметных </w:t>
      </w:r>
      <w:r w:rsidRPr="00366312">
        <w:t>результатов.</w:t>
      </w:r>
    </w:p>
    <w:p w:rsidR="00296135" w:rsidRPr="00366312" w:rsidRDefault="00296135" w:rsidP="00296135">
      <w:pPr>
        <w:shd w:val="clear" w:color="auto" w:fill="FFFFFF"/>
        <w:spacing w:line="360" w:lineRule="auto"/>
        <w:ind w:firstLine="709"/>
        <w:jc w:val="both"/>
      </w:pPr>
      <w:r w:rsidRPr="00366312">
        <w:t>Цель внеурочной деятельности: создание условий для проявления и развития ребенком своих интересов на основе с</w:t>
      </w:r>
      <w:r>
        <w:t>вободного выбора.</w:t>
      </w:r>
    </w:p>
    <w:p w:rsidR="00296135" w:rsidRPr="00366312" w:rsidRDefault="00296135" w:rsidP="00296135">
      <w:pPr>
        <w:spacing w:line="360" w:lineRule="auto"/>
        <w:ind w:firstLine="709"/>
        <w:jc w:val="both"/>
      </w:pPr>
      <w:r w:rsidRPr="00366312">
        <w:rPr>
          <w:bCs/>
        </w:rPr>
        <w:t>Основные задачи организации внеурочной деятельности детей:</w:t>
      </w:r>
    </w:p>
    <w:p w:rsidR="00296135" w:rsidRPr="00366312" w:rsidRDefault="00021A97" w:rsidP="00296135">
      <w:pPr>
        <w:pStyle w:val="a7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>
        <w:t>В</w:t>
      </w:r>
      <w:r w:rsidR="00296135" w:rsidRPr="00366312">
        <w:t>ыявление интересов, склонностей и способностей обучающих</w:t>
      </w:r>
      <w:r w:rsidR="00296135">
        <w:t>ся в разных видах деятельности;</w:t>
      </w:r>
    </w:p>
    <w:p w:rsidR="00296135" w:rsidRPr="00366312" w:rsidRDefault="00021A97" w:rsidP="00296135">
      <w:pPr>
        <w:pStyle w:val="a7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>
        <w:t>С</w:t>
      </w:r>
      <w:r w:rsidR="00296135" w:rsidRPr="00366312">
        <w:t>оздание условий для индивидуального развития каждого ребенка в избранной</w:t>
      </w:r>
      <w:r w:rsidR="00296135">
        <w:t xml:space="preserve"> сфере внеурочной деятельности;</w:t>
      </w:r>
    </w:p>
    <w:p w:rsidR="00296135" w:rsidRPr="00366312" w:rsidRDefault="00021A97" w:rsidP="00296135">
      <w:pPr>
        <w:pStyle w:val="a7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>
        <w:t>Р</w:t>
      </w:r>
      <w:r w:rsidR="00296135" w:rsidRPr="00366312">
        <w:t>азвитие опыта творческой деятельности,</w:t>
      </w:r>
      <w:r w:rsidR="00296135">
        <w:t xml:space="preserve"> творческих способностей детей;</w:t>
      </w:r>
    </w:p>
    <w:p w:rsidR="00296135" w:rsidRPr="00366312" w:rsidRDefault="00021A97" w:rsidP="00296135">
      <w:pPr>
        <w:pStyle w:val="a7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>
        <w:t>С</w:t>
      </w:r>
      <w:r w:rsidR="00296135" w:rsidRPr="00366312">
        <w:t>оздание условий для реализации учащимися приобрет</w:t>
      </w:r>
      <w:r w:rsidR="00296135">
        <w:t>енных знаний, умений и навыков;</w:t>
      </w:r>
    </w:p>
    <w:p w:rsidR="00296135" w:rsidRPr="00366312" w:rsidRDefault="00021A97" w:rsidP="00296135">
      <w:pPr>
        <w:pStyle w:val="a7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>
        <w:lastRenderedPageBreak/>
        <w:t>Р</w:t>
      </w:r>
      <w:r w:rsidR="00296135" w:rsidRPr="00366312">
        <w:t>азвитие опыта неформального общения, взаимодействия, сотрудничества обучающихся; расширение рамок общения школьников с социумом.</w:t>
      </w:r>
    </w:p>
    <w:p w:rsidR="00296135" w:rsidRPr="00366312" w:rsidRDefault="00296135" w:rsidP="008E05E0">
      <w:pPr>
        <w:spacing w:line="360" w:lineRule="auto"/>
        <w:ind w:firstLine="709"/>
        <w:jc w:val="both"/>
      </w:pPr>
      <w:r w:rsidRPr="00366312">
        <w:t xml:space="preserve">Для решения </w:t>
      </w:r>
      <w:r w:rsidR="00021A97">
        <w:t>данных задач</w:t>
      </w:r>
      <w:r w:rsidRPr="00366312">
        <w:t xml:space="preserve"> разработан, отобран и апробирован ряд образовательных технологий. Все они созданы на основе активных методов обучения, при которых </w:t>
      </w:r>
      <w:r w:rsidRPr="00366312">
        <w:rPr>
          <w:bCs/>
        </w:rPr>
        <w:t>учащиес</w:t>
      </w:r>
      <w:r w:rsidR="00021A97">
        <w:rPr>
          <w:bCs/>
        </w:rPr>
        <w:t>я являются «субъектом» обучения: они в</w:t>
      </w:r>
      <w:r w:rsidRPr="00366312">
        <w:rPr>
          <w:bCs/>
        </w:rPr>
        <w:t>ыполняют творческие задания</w:t>
      </w:r>
      <w:r w:rsidR="008E05E0">
        <w:rPr>
          <w:bCs/>
        </w:rPr>
        <w:t>, вступают в диалог с учителем.</w:t>
      </w:r>
    </w:p>
    <w:p w:rsidR="00296135" w:rsidRPr="00366312" w:rsidRDefault="00296135" w:rsidP="00296135">
      <w:pPr>
        <w:spacing w:line="360" w:lineRule="auto"/>
        <w:ind w:firstLine="709"/>
        <w:jc w:val="both"/>
      </w:pPr>
      <w:r w:rsidRPr="00366312">
        <w:t xml:space="preserve">Опыт работы в 5-11 классах показывает, что наиболее эффективными в развитии </w:t>
      </w:r>
      <w:proofErr w:type="spellStart"/>
      <w:r w:rsidRPr="00366312">
        <w:t>метапредметных</w:t>
      </w:r>
      <w:proofErr w:type="spellEnd"/>
      <w:r w:rsidRPr="00366312">
        <w:t xml:space="preserve"> компетенций учащихся являются следующие технологии работы: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Мастерские.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Мастер-классы.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Исследовательская работа.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Составление олимпиадных (конкурсных) заданий для младших школьников.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Математические состязания (</w:t>
      </w:r>
      <w:proofErr w:type="spellStart"/>
      <w:proofErr w:type="gramStart"/>
      <w:r w:rsidRPr="00366312">
        <w:t>интернет-олимпиады</w:t>
      </w:r>
      <w:proofErr w:type="spellEnd"/>
      <w:proofErr w:type="gramEnd"/>
      <w:r w:rsidRPr="00366312">
        <w:t xml:space="preserve">, </w:t>
      </w:r>
      <w:proofErr w:type="spellStart"/>
      <w:r w:rsidRPr="00366312">
        <w:t>математическе</w:t>
      </w:r>
      <w:proofErr w:type="spellEnd"/>
      <w:r w:rsidRPr="00366312">
        <w:t xml:space="preserve"> бои, заочные олимпиады, тематические турниры, викторины, конкурсы).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>Игры.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Проектная деятельность. 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Изготовление наглядных пособий. 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Оформление стенгазет. 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Составление кроссвордов, ребусов, 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Проведение выставок,  </w:t>
      </w:r>
    </w:p>
    <w:p w:rsidR="00296135" w:rsidRPr="00366312" w:rsidRDefault="00296135" w:rsidP="00296135">
      <w:pPr>
        <w:pStyle w:val="a7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contextualSpacing w:val="0"/>
        <w:jc w:val="both"/>
      </w:pPr>
      <w:r w:rsidRPr="00366312">
        <w:t xml:space="preserve">Сочинение математических сказок. </w:t>
      </w:r>
    </w:p>
    <w:p w:rsidR="00296135" w:rsidRPr="00366312" w:rsidRDefault="00296135" w:rsidP="00296135">
      <w:pPr>
        <w:spacing w:line="360" w:lineRule="auto"/>
        <w:ind w:firstLine="709"/>
        <w:jc w:val="both"/>
      </w:pPr>
      <w:r w:rsidRPr="00366312">
        <w:t>Рассмотрим подробнее различные технологии работы.</w:t>
      </w:r>
    </w:p>
    <w:p w:rsidR="00296135" w:rsidRPr="00366312" w:rsidRDefault="00296135" w:rsidP="00296135">
      <w:pPr>
        <w:spacing w:line="360" w:lineRule="auto"/>
        <w:ind w:firstLine="709"/>
        <w:jc w:val="both"/>
      </w:pPr>
      <w:r w:rsidRPr="00366312">
        <w:t>При проведении мастер-классов мы учитываем художественно-эстетическую направленность нашей школы и  предлагаем сделать доклады или презентации на темы: «Математика вокруг нас», «Геометрия в музыке», «Геометрия в изобразительном искусстве» и т.д.</w:t>
      </w:r>
    </w:p>
    <w:p w:rsidR="00296135" w:rsidRPr="00366312" w:rsidRDefault="00021A97" w:rsidP="00296135">
      <w:pPr>
        <w:shd w:val="clear" w:color="auto" w:fill="FFFFFF"/>
        <w:spacing w:line="360" w:lineRule="auto"/>
        <w:ind w:firstLine="709"/>
        <w:jc w:val="both"/>
      </w:pPr>
      <w:r>
        <w:t>Особое место в</w:t>
      </w:r>
      <w:r w:rsidR="00296135" w:rsidRPr="00366312">
        <w:t xml:space="preserve"> работе занимают игры на составление плоскостных изображений предметов, животных, птиц, домов, кораблей и других объектов из специальных наборов геометрических фигур (работа с бумагой). Наборы фигур при этом подбираются не произвольно, а представляют собой части разрезанной определённым образом фигуры: квадрата, </w:t>
      </w:r>
      <w:r>
        <w:t xml:space="preserve">прямоугольника, круга и овала. </w:t>
      </w:r>
      <w:r w:rsidR="00296135" w:rsidRPr="00366312">
        <w:t>К таким и</w:t>
      </w:r>
      <w:r>
        <w:t>грам относятся  игры</w:t>
      </w:r>
      <w:r w:rsidR="00296135">
        <w:t xml:space="preserve"> «</w:t>
      </w:r>
      <w:proofErr w:type="spellStart"/>
      <w:r w:rsidR="00296135">
        <w:t>Танграм</w:t>
      </w:r>
      <w:proofErr w:type="spellEnd"/>
      <w:r w:rsidR="00296135">
        <w:t>», «</w:t>
      </w:r>
      <w:proofErr w:type="spellStart"/>
      <w:r w:rsidR="00296135" w:rsidRPr="00366312">
        <w:t>Пентамино</w:t>
      </w:r>
      <w:proofErr w:type="spellEnd"/>
      <w:r w:rsidR="00296135" w:rsidRPr="00366312">
        <w:t>», «</w:t>
      </w:r>
      <w:proofErr w:type="spellStart"/>
      <w:r w:rsidR="00296135" w:rsidRPr="00366312">
        <w:t>Колумбо</w:t>
      </w:r>
      <w:r>
        <w:t>во</w:t>
      </w:r>
      <w:proofErr w:type="spellEnd"/>
      <w:r>
        <w:t xml:space="preserve"> яйцо». Часто игру «</w:t>
      </w:r>
      <w:proofErr w:type="spellStart"/>
      <w:r>
        <w:t>Танграм</w:t>
      </w:r>
      <w:proofErr w:type="spellEnd"/>
      <w:r>
        <w:t>»</w:t>
      </w:r>
      <w:r w:rsidR="00296135" w:rsidRPr="00366312">
        <w:t xml:space="preserve"> называют «Головоломкой из картона» или «Геометрический конструктор». Из частей головоломки можно составлять изученные геометрические фигуры (треугольник, квадрат, параллелограмм, трапеция, прямоугольник), вычислять их</w:t>
      </w:r>
      <w:r>
        <w:t xml:space="preserve"> площади, а также сравнивать</w:t>
      </w:r>
      <w:r w:rsidR="00296135" w:rsidRPr="00366312">
        <w:t xml:space="preserve"> фигуры с помощью наложения. </w:t>
      </w:r>
      <w:r>
        <w:lastRenderedPageBreak/>
        <w:t>К</w:t>
      </w:r>
      <w:r w:rsidR="00296135" w:rsidRPr="00366312">
        <w:t xml:space="preserve"> играм предложены следующие задания: сложить фигуру по контурному рисунку; сложить  фигуру по рисунку со сплошной заливкой, при котором не вид</w:t>
      </w:r>
      <w:r>
        <w:t>но  границ элементов; составить</w:t>
      </w:r>
      <w:r w:rsidR="00296135" w:rsidRPr="00366312">
        <w:t xml:space="preserve"> б</w:t>
      </w:r>
      <w:r>
        <w:t>олее</w:t>
      </w:r>
      <w:r w:rsidR="00296135" w:rsidRPr="00366312">
        <w:t xml:space="preserve"> сложный двойной или тройной рисунок (для этого используются два или три комплекта игры). На рисунке 1 представлена схема изготовления игры, а на рисунке 2 некоторые фигуры, которые можно сложить из данного набора.</w:t>
      </w:r>
    </w:p>
    <w:p w:rsidR="00296135" w:rsidRPr="00366312" w:rsidRDefault="00296135" w:rsidP="00296135">
      <w:pPr>
        <w:shd w:val="clear" w:color="auto" w:fill="FFFFFF"/>
        <w:spacing w:line="360" w:lineRule="auto"/>
        <w:ind w:firstLine="709"/>
        <w:jc w:val="both"/>
      </w:pPr>
      <w:r w:rsidRPr="00366312">
        <w:rPr>
          <w:noProof/>
        </w:rPr>
        <w:drawing>
          <wp:inline distT="0" distB="0" distL="0" distR="0">
            <wp:extent cx="1000125" cy="1016000"/>
            <wp:effectExtent l="0" t="0" r="9525" b="0"/>
            <wp:docPr id="2" name="Рисунок 2" descr="http://brilna.narod.ru/images/11954227111348723492tangram-24_yves_guillou_01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lna.narod.ru/images/11954227111348723492tangram-24_yves_guillou_01_svg_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рис.</w:t>
      </w:r>
      <w:r w:rsidR="00021A97">
        <w:t>1</w:t>
      </w:r>
      <w:r>
        <w:tab/>
      </w:r>
      <w:r>
        <w:tab/>
      </w:r>
      <w:r w:rsidRPr="00366312">
        <w:rPr>
          <w:noProof/>
        </w:rPr>
        <w:drawing>
          <wp:inline distT="0" distB="0" distL="0" distR="0">
            <wp:extent cx="1016000" cy="1016000"/>
            <wp:effectExtent l="0" t="0" r="0" b="0"/>
            <wp:docPr id="1" name="Рисунок 1" descr="http://www.babylessons.ru/wp-content/uploads/2010/04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ylessons.ru/wp-content/uploads/2010/04/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12">
        <w:t>рис. 2</w:t>
      </w:r>
    </w:p>
    <w:p w:rsidR="00296135" w:rsidRPr="00366312" w:rsidRDefault="00296135" w:rsidP="00296135">
      <w:pPr>
        <w:pStyle w:val="a5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66312">
        <w:t>В технологии мастерских у</w:t>
      </w:r>
      <w:r w:rsidR="00021A97">
        <w:t>пор делается на освоение знаний</w:t>
      </w:r>
      <w:r w:rsidRPr="00366312">
        <w:t xml:space="preserve"> через практическую работу. </w:t>
      </w:r>
      <w:r w:rsidRPr="00366312">
        <w:rPr>
          <w:bCs/>
        </w:rPr>
        <w:t xml:space="preserve">Например, когда знакомимся с одним из видов орнаментов–математическим паркетом (математический паркет – это замощение плоскости одинаковыми фигурами, которые не перекрывают друг друга и не оставляют на плоскости пустого пространства), учимся их строить с помощью компьютера. Прослеживаем связь  между художественным и математическим  паркетами.  Знакомимся с основоположником этого направления М.К. </w:t>
      </w:r>
      <w:proofErr w:type="spellStart"/>
      <w:r w:rsidRPr="00366312">
        <w:rPr>
          <w:bCs/>
        </w:rPr>
        <w:t>Эшером</w:t>
      </w:r>
      <w:proofErr w:type="spellEnd"/>
      <w:r w:rsidRPr="00366312">
        <w:rPr>
          <w:bCs/>
        </w:rPr>
        <w:t>.</w:t>
      </w:r>
      <w:r w:rsidRPr="00366312">
        <w:t xml:space="preserve"> На рисунке 1 представлен </w:t>
      </w:r>
      <w:r w:rsidRPr="00366312">
        <w:rPr>
          <w:bCs/>
        </w:rPr>
        <w:t xml:space="preserve">художественный паркет и  </w:t>
      </w:r>
      <w:r w:rsidRPr="00366312">
        <w:t xml:space="preserve">на рисунке 2  </w:t>
      </w:r>
      <w:r w:rsidRPr="00366312">
        <w:rPr>
          <w:bCs/>
        </w:rPr>
        <w:t>математический  паркет.</w:t>
      </w:r>
    </w:p>
    <w:p w:rsidR="00296135" w:rsidRPr="00366312" w:rsidRDefault="00296135" w:rsidP="00296135">
      <w:pPr>
        <w:pStyle w:val="a5"/>
        <w:spacing w:before="0" w:beforeAutospacing="0" w:after="0" w:afterAutospacing="0"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3040536</wp:posOffset>
            </wp:positionH>
            <wp:positionV relativeFrom="paragraph">
              <wp:posOffset>2553</wp:posOffset>
            </wp:positionV>
            <wp:extent cx="1109954" cy="97971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54" cy="97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6312">
        <w:rPr>
          <w:noProof/>
        </w:rPr>
        <w:drawing>
          <wp:inline distT="0" distB="0" distL="0" distR="0">
            <wp:extent cx="1625600" cy="1047115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12">
        <w:rPr>
          <w:bCs/>
        </w:rPr>
        <w:t xml:space="preserve">рис. </w:t>
      </w:r>
      <w:r>
        <w:rPr>
          <w:bCs/>
        </w:rPr>
        <w:t xml:space="preserve">1  </w:t>
      </w:r>
      <w:r w:rsidRPr="00366312">
        <w:rPr>
          <w:bCs/>
        </w:rPr>
        <w:t xml:space="preserve">             рис. 2</w:t>
      </w:r>
    </w:p>
    <w:p w:rsidR="00296135" w:rsidRPr="00366312" w:rsidRDefault="00021A97" w:rsidP="00296135">
      <w:pPr>
        <w:spacing w:line="360" w:lineRule="auto"/>
        <w:ind w:firstLine="709"/>
        <w:jc w:val="both"/>
      </w:pPr>
      <w:bookmarkStart w:id="0" w:name="_GoBack"/>
      <w:bookmarkEnd w:id="0"/>
      <w:r>
        <w:rPr>
          <w:bCs/>
        </w:rPr>
        <w:t>Большое внимание в</w:t>
      </w:r>
      <w:r w:rsidR="00296135" w:rsidRPr="00366312">
        <w:rPr>
          <w:bCs/>
        </w:rPr>
        <w:t xml:space="preserve"> работе мы уделяем проектной деятельности учащихся.</w:t>
      </w:r>
      <w:r w:rsidR="00296135" w:rsidRPr="00366312">
        <w:t xml:space="preserve"> Проекты могут быть как небольшими, рассчитанными на один урок, так и достаточно объёмными, требующими от учащихся</w:t>
      </w:r>
      <w:r>
        <w:t xml:space="preserve"> внеурочной подготовки. В </w:t>
      </w:r>
      <w:r w:rsidR="00296135" w:rsidRPr="00366312">
        <w:t xml:space="preserve">работе мы использовали такие темы проектов: «Решение уравнений в целых числах» (Освоение способа решения уравнений с двумя неизвестными первой и второй степени в целых числах), «Системы счисления» (Знакомство с различными системами счисления и формирование математической грамотности), «Золотое сечение» (Исследование  применения золотого сечения в различных  сферах жизни человека). </w:t>
      </w:r>
    </w:p>
    <w:p w:rsidR="00296135" w:rsidRDefault="00296135" w:rsidP="00296135">
      <w:pPr>
        <w:spacing w:line="360" w:lineRule="auto"/>
        <w:ind w:firstLine="709"/>
        <w:jc w:val="both"/>
      </w:pPr>
      <w:r w:rsidRPr="00366312">
        <w:rPr>
          <w:bCs/>
        </w:rPr>
        <w:t>Одной из самых востребова</w:t>
      </w:r>
      <w:r w:rsidR="00021A97">
        <w:rPr>
          <w:bCs/>
        </w:rPr>
        <w:t>нных технологий работы с учащимися оказала</w:t>
      </w:r>
      <w:r w:rsidRPr="00366312">
        <w:rPr>
          <w:bCs/>
        </w:rPr>
        <w:t xml:space="preserve">сь </w:t>
      </w:r>
      <w:r w:rsidR="00021A97">
        <w:rPr>
          <w:bCs/>
        </w:rPr>
        <w:t xml:space="preserve">технология </w:t>
      </w:r>
      <w:r w:rsidR="00021A97">
        <w:t>обучения</w:t>
      </w:r>
      <w:r w:rsidRPr="00366312">
        <w:t xml:space="preserve"> старшеклассников составлению вариантов олимпиадных (конкурсных) заданий для младших школьников. Ребята активно включились в процесс</w:t>
      </w:r>
      <w:r w:rsidR="00021A97">
        <w:t>,</w:t>
      </w:r>
      <w:r w:rsidRPr="00366312">
        <w:t xml:space="preserve"> даже не подозревая, что</w:t>
      </w:r>
      <w:r w:rsidR="00021A97">
        <w:t>,</w:t>
      </w:r>
      <w:r w:rsidRPr="00366312">
        <w:t xml:space="preserve"> занимаясь этим, они развивают собственные </w:t>
      </w:r>
      <w:proofErr w:type="spellStart"/>
      <w:r w:rsidRPr="00366312">
        <w:t>метапредметные</w:t>
      </w:r>
      <w:proofErr w:type="spellEnd"/>
      <w:r w:rsidRPr="00366312">
        <w:t xml:space="preserve"> ум</w:t>
      </w:r>
      <w:r w:rsidR="00021A97">
        <w:t>ения и навыки, включающие</w:t>
      </w:r>
      <w:r w:rsidRPr="00366312">
        <w:t xml:space="preserve"> умение решать новые, нестандартные проблемы; соответствовать </w:t>
      </w:r>
      <w:r w:rsidRPr="00366312">
        <w:lastRenderedPageBreak/>
        <w:t>предъявляе</w:t>
      </w:r>
      <w:r w:rsidR="00021A97">
        <w:t>мым  требованиям к коммуникатив</w:t>
      </w:r>
      <w:r w:rsidRPr="00366312">
        <w:t>ному взаимодействию и сотрудничеству, толерантности.</w:t>
      </w:r>
    </w:p>
    <w:p w:rsidR="00296135" w:rsidRPr="00366312" w:rsidRDefault="00296135" w:rsidP="00296135">
      <w:pPr>
        <w:spacing w:line="360" w:lineRule="auto"/>
        <w:ind w:firstLine="709"/>
        <w:jc w:val="both"/>
      </w:pPr>
      <w:r w:rsidRPr="00366312">
        <w:t>В процессе применения представленных технологий были получены</w:t>
      </w:r>
      <w:r>
        <w:t xml:space="preserve"> результаты: </w:t>
      </w:r>
      <w:r w:rsidRPr="00366312">
        <w:t>развитие у учащихся умения докладывать, объяснять, доказывать, возражать; обосновывать, отстаивать собственное мнение и прислушиваться к мнению других; сопоставля</w:t>
      </w:r>
      <w:r w:rsidR="00021A97">
        <w:t>ть, сравнивать свою точку зрения</w:t>
      </w:r>
      <w:r w:rsidRPr="00366312">
        <w:t xml:space="preserve"> с точкой зрения других; развитие умения формулировать вопросы; повышение мотивации к обучению.</w:t>
      </w:r>
    </w:p>
    <w:p w:rsidR="008E05E0" w:rsidRPr="00366312" w:rsidRDefault="008E05E0" w:rsidP="008E05E0">
      <w:pPr>
        <w:spacing w:line="360" w:lineRule="auto"/>
        <w:ind w:firstLine="709"/>
        <w:jc w:val="both"/>
        <w:rPr>
          <w:b/>
        </w:rPr>
      </w:pPr>
      <w:r w:rsidRPr="00366312">
        <w:rPr>
          <w:b/>
        </w:rPr>
        <w:t>Интернет источники:</w:t>
      </w:r>
    </w:p>
    <w:p w:rsidR="008E05E0" w:rsidRPr="00366312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</w:pPr>
      <w:proofErr w:type="spellStart"/>
      <w:r w:rsidRPr="00366312">
        <w:t>Голдобин</w:t>
      </w:r>
      <w:proofErr w:type="spellEnd"/>
      <w:r w:rsidRPr="00366312">
        <w:t xml:space="preserve"> С.Е. Активизация познавательной деятельности учащихся через различные формы внеклассной работы по информатике [Электронный ресурс] //  </w:t>
      </w:r>
      <w:hyperlink r:id="rId12" w:history="1">
        <w:r w:rsidRPr="00366312">
          <w:t>Интернет и образование</w:t>
        </w:r>
      </w:hyperlink>
      <w:r w:rsidRPr="00366312">
        <w:t xml:space="preserve">. – </w:t>
      </w:r>
      <w:hyperlink r:id="rId13" w:history="1">
        <w:r w:rsidRPr="00366312">
          <w:t>2010. - № 20</w:t>
        </w:r>
      </w:hyperlink>
      <w:r w:rsidRPr="00366312">
        <w:t xml:space="preserve">. Режим доступа </w:t>
      </w:r>
      <w:hyperlink r:id="rId14" w:history="1">
        <w:r w:rsidRPr="00366312">
          <w:rPr>
            <w:rStyle w:val="a8"/>
          </w:rPr>
          <w:t>http://www.openclass.ru/node/128612</w:t>
        </w:r>
      </w:hyperlink>
    </w:p>
    <w:p w:rsidR="008E05E0" w:rsidRPr="00366312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</w:pPr>
      <w:r w:rsidRPr="00366312">
        <w:t xml:space="preserve">Кобелева Г.А. Развитие информационной и коммуникативной компетентности учащихся на уроках информатики и во внеурочной деятельности / Г.А. Кобелева сайт Фестиваля  педагогических идей «Открытый урок» [Электронный ресурс]. Режим доступа: </w:t>
      </w:r>
      <w:hyperlink r:id="rId15" w:history="1">
        <w:r w:rsidRPr="00366312">
          <w:rPr>
            <w:rStyle w:val="a8"/>
          </w:rPr>
          <w:t>http://festival.1september.ru/articles/553862/</w:t>
        </w:r>
      </w:hyperlink>
    </w:p>
    <w:p w:rsidR="008E05E0" w:rsidRPr="00366312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Style w:val="a8"/>
        </w:rPr>
      </w:pPr>
      <w:r w:rsidRPr="00366312">
        <w:t xml:space="preserve">Костромина М.Г. Метод проектов как один из путей повышения компетенции школьника / М.Г. Костромина [Электронный ресурс] // Интернет и образование. – 2010. - №19. Режим доступа: </w:t>
      </w:r>
      <w:hyperlink r:id="rId16" w:history="1">
        <w:r w:rsidRPr="00366312">
          <w:rPr>
            <w:rStyle w:val="a8"/>
          </w:rPr>
          <w:t>http://www.openclass.ru/io/19/kostromina</w:t>
        </w:r>
      </w:hyperlink>
    </w:p>
    <w:p w:rsidR="008E05E0" w:rsidRPr="00366312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</w:pPr>
      <w:r w:rsidRPr="00366312">
        <w:rPr>
          <w:lang w:val="en-US"/>
        </w:rPr>
        <w:t>C</w:t>
      </w:r>
      <w:proofErr w:type="spellStart"/>
      <w:r w:rsidRPr="00366312">
        <w:t>айт</w:t>
      </w:r>
      <w:proofErr w:type="spellEnd"/>
      <w:r w:rsidRPr="00366312">
        <w:t xml:space="preserve"> </w:t>
      </w:r>
      <w:proofErr w:type="gramStart"/>
      <w:r w:rsidRPr="00366312">
        <w:t>сетевого  образовательного</w:t>
      </w:r>
      <w:proofErr w:type="gramEnd"/>
      <w:r w:rsidRPr="00366312">
        <w:t xml:space="preserve"> сообщества «Открытый класс»  [Электронный ресурс]. Режим доступа: </w:t>
      </w:r>
      <w:hyperlink r:id="rId17" w:history="1">
        <w:r w:rsidRPr="00366312">
          <w:rPr>
            <w:rStyle w:val="a8"/>
            <w:color w:val="auto"/>
          </w:rPr>
          <w:t>http://www.openclass.ru/</w:t>
        </w:r>
      </w:hyperlink>
    </w:p>
    <w:p w:rsidR="008E05E0" w:rsidRPr="00366312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</w:pPr>
      <w:r w:rsidRPr="00366312">
        <w:t xml:space="preserve">Сулейманов Р.Р. Формы организации учебного процесса / Р.Р. Сулейманов сайт Всероссийского </w:t>
      </w:r>
      <w:proofErr w:type="spellStart"/>
      <w:proofErr w:type="gramStart"/>
      <w:r w:rsidRPr="00366312">
        <w:t>интернет-педсовета</w:t>
      </w:r>
      <w:proofErr w:type="spellEnd"/>
      <w:proofErr w:type="gramEnd"/>
      <w:r w:rsidRPr="00366312">
        <w:t>. [Электронный ресурс]. 2007. - Режим доступа:</w:t>
      </w:r>
      <w:hyperlink r:id="rId18" w:history="1">
        <w:r w:rsidRPr="00366312">
          <w:rPr>
            <w:rStyle w:val="a8"/>
          </w:rPr>
          <w:t>http://pedsovet.org/component/option,com_mtree/task,viewlink/link_id,3438/Itemid,118/</w:t>
        </w:r>
      </w:hyperlink>
    </w:p>
    <w:p w:rsidR="008E05E0" w:rsidRDefault="008E05E0" w:rsidP="008E05E0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</w:pPr>
      <w:r w:rsidRPr="00366312">
        <w:t xml:space="preserve">Трофимова А.Л., Трофимова Л.А. Цели, задачи, содержание и принципы внеурочной деятельности школьников, осуществляемой с использованием информационных технологий / А.Л. Трофимова сайт  Фестиваля  педагогических идей «Открытый урок» [Электронный ресурс]. Режим доступа: </w:t>
      </w:r>
      <w:hyperlink r:id="rId19" w:history="1">
        <w:r w:rsidRPr="00366312">
          <w:rPr>
            <w:rStyle w:val="a8"/>
          </w:rPr>
          <w:t>http://festival.1september.ru/articles/534738/</w:t>
        </w:r>
      </w:hyperlink>
    </w:p>
    <w:p w:rsidR="00296135" w:rsidRPr="00366312" w:rsidRDefault="00296135" w:rsidP="00296135">
      <w:pPr>
        <w:spacing w:line="360" w:lineRule="auto"/>
        <w:ind w:firstLine="709"/>
        <w:jc w:val="both"/>
        <w:rPr>
          <w:b/>
        </w:rPr>
      </w:pPr>
      <w:r>
        <w:rPr>
          <w:b/>
        </w:rPr>
        <w:t>Список источников</w:t>
      </w:r>
    </w:p>
    <w:p w:rsidR="00296135" w:rsidRPr="00366312" w:rsidRDefault="00296135" w:rsidP="00296135">
      <w:pPr>
        <w:pStyle w:val="a7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color w:val="000000"/>
        </w:rPr>
      </w:pPr>
      <w:proofErr w:type="spellStart"/>
      <w:r w:rsidRPr="00366312">
        <w:rPr>
          <w:color w:val="000000"/>
        </w:rPr>
        <w:t>Златопольский</w:t>
      </w:r>
      <w:proofErr w:type="spellEnd"/>
      <w:r w:rsidRPr="00366312">
        <w:rPr>
          <w:color w:val="000000"/>
        </w:rPr>
        <w:t xml:space="preserve"> Д.М. Внеклассная работа. Информатика: Приложение к  «Первому сентября» – 2001. - №44</w:t>
      </w:r>
    </w:p>
    <w:p w:rsidR="00296135" w:rsidRPr="00366312" w:rsidRDefault="00296135" w:rsidP="00296135">
      <w:pPr>
        <w:pStyle w:val="a7"/>
        <w:numPr>
          <w:ilvl w:val="0"/>
          <w:numId w:val="1"/>
        </w:numPr>
        <w:spacing w:line="360" w:lineRule="auto"/>
        <w:ind w:left="0" w:firstLine="0"/>
        <w:contextualSpacing w:val="0"/>
        <w:jc w:val="both"/>
      </w:pPr>
      <w:r w:rsidRPr="00366312">
        <w:t xml:space="preserve">Лукичева Е.Ю. ФГОС: обновление содержания и технологии обучения (математика)  учебно-методическое  пособие (издание </w:t>
      </w:r>
      <w:proofErr w:type="gramStart"/>
      <w:r w:rsidRPr="00366312">
        <w:t>второе</w:t>
      </w:r>
      <w:proofErr w:type="gramEnd"/>
      <w:r w:rsidRPr="00366312">
        <w:t xml:space="preserve"> исправленное и дополненное) </w:t>
      </w:r>
      <w:r w:rsidRPr="00366312">
        <w:rPr>
          <w:rFonts w:eastAsia="Cambria"/>
        </w:rPr>
        <w:t xml:space="preserve">– </w:t>
      </w:r>
      <w:r w:rsidRPr="00366312">
        <w:t>СПб.: СПб АППО, 2013-108с.</w:t>
      </w:r>
    </w:p>
    <w:p w:rsidR="00296135" w:rsidRPr="00366312" w:rsidRDefault="00296135" w:rsidP="00296135">
      <w:pPr>
        <w:pStyle w:val="a7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eastAsia="Cambria"/>
        </w:rPr>
      </w:pPr>
      <w:r w:rsidRPr="00366312">
        <w:rPr>
          <w:rFonts w:eastAsia="Cambria"/>
        </w:rPr>
        <w:t>Смирнова А.Н., Фадеева Е.А. Нетрадиционные формы организации внеклассной работы – СПб</w:t>
      </w:r>
      <w:proofErr w:type="gramStart"/>
      <w:r w:rsidRPr="00366312">
        <w:rPr>
          <w:rFonts w:eastAsia="Cambria"/>
        </w:rPr>
        <w:t xml:space="preserve">.: </w:t>
      </w:r>
      <w:proofErr w:type="gramEnd"/>
      <w:r w:rsidRPr="00366312">
        <w:rPr>
          <w:rFonts w:eastAsia="Cambria"/>
        </w:rPr>
        <w:t>ООО «Книжный Дом», 2011.</w:t>
      </w:r>
    </w:p>
    <w:p w:rsidR="00296135" w:rsidRPr="00366312" w:rsidRDefault="00296135" w:rsidP="00296135">
      <w:pPr>
        <w:pStyle w:val="a7"/>
        <w:numPr>
          <w:ilvl w:val="0"/>
          <w:numId w:val="1"/>
        </w:numPr>
        <w:spacing w:line="360" w:lineRule="auto"/>
        <w:ind w:left="0" w:firstLine="0"/>
        <w:contextualSpacing w:val="0"/>
        <w:jc w:val="both"/>
      </w:pPr>
      <w:r w:rsidRPr="00366312">
        <w:lastRenderedPageBreak/>
        <w:t xml:space="preserve">Федеральный государственный образовательный стандарт основного общего образования / Министерство образования и науки Российской Федерации. – М.: </w:t>
      </w:r>
      <w:r w:rsidR="00021A97">
        <w:t>«</w:t>
      </w:r>
      <w:r w:rsidRPr="00366312">
        <w:t>Просвещение</w:t>
      </w:r>
      <w:r w:rsidR="00021A97">
        <w:t>»</w:t>
      </w:r>
      <w:r w:rsidRPr="00366312">
        <w:t xml:space="preserve">, 2010. – (стандарты второго поколения). </w:t>
      </w:r>
    </w:p>
    <w:p w:rsidR="008E05E0" w:rsidRDefault="00296135" w:rsidP="008E05E0">
      <w:pPr>
        <w:pStyle w:val="a7"/>
        <w:numPr>
          <w:ilvl w:val="0"/>
          <w:numId w:val="1"/>
        </w:numPr>
        <w:spacing w:line="360" w:lineRule="auto"/>
        <w:ind w:left="0" w:firstLine="0"/>
        <w:contextualSpacing w:val="0"/>
        <w:jc w:val="both"/>
      </w:pPr>
      <w:proofErr w:type="gramStart"/>
      <w:r w:rsidRPr="00366312">
        <w:t>Хуторской</w:t>
      </w:r>
      <w:proofErr w:type="gramEnd"/>
      <w:r w:rsidRPr="00366312">
        <w:t xml:space="preserve"> А.В. Работа с </w:t>
      </w:r>
      <w:proofErr w:type="spellStart"/>
      <w:r w:rsidRPr="00366312">
        <w:t>метапредметным</w:t>
      </w:r>
      <w:proofErr w:type="spellEnd"/>
      <w:r w:rsidRPr="00366312">
        <w:t xml:space="preserve"> компонентом ново</w:t>
      </w:r>
      <w:r w:rsidR="00021A97">
        <w:t>го образовательного стандарта. «</w:t>
      </w:r>
      <w:r w:rsidRPr="00366312">
        <w:t>Народное образование</w:t>
      </w:r>
      <w:r w:rsidR="00021A97">
        <w:t>»</w:t>
      </w:r>
      <w:r w:rsidRPr="00366312">
        <w:t xml:space="preserve"> №4 2013 – с. 157-171.</w:t>
      </w:r>
    </w:p>
    <w:sectPr w:rsidR="008E05E0" w:rsidSect="00296135">
      <w:footerReference w:type="default" r:id="rId2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2A" w:rsidRDefault="0033172A" w:rsidP="001A0A9C">
      <w:r>
        <w:separator/>
      </w:r>
    </w:p>
  </w:endnote>
  <w:endnote w:type="continuationSeparator" w:id="0">
    <w:p w:rsidR="0033172A" w:rsidRDefault="0033172A" w:rsidP="001A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631005"/>
      <w:docPartObj>
        <w:docPartGallery w:val="Page Numbers (Bottom of Page)"/>
        <w:docPartUnique/>
      </w:docPartObj>
    </w:sdtPr>
    <w:sdtContent>
      <w:p w:rsidR="00765641" w:rsidRDefault="001A0A9C" w:rsidP="00021A97">
        <w:pPr>
          <w:pStyle w:val="a9"/>
          <w:jc w:val="center"/>
        </w:pPr>
        <w:r>
          <w:fldChar w:fldCharType="begin"/>
        </w:r>
        <w:r w:rsidR="00296135">
          <w:instrText>PAGE   \* MERGEFORMAT</w:instrText>
        </w:r>
        <w:r>
          <w:fldChar w:fldCharType="separate"/>
        </w:r>
        <w:r w:rsidR="008E05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2A" w:rsidRDefault="0033172A" w:rsidP="001A0A9C">
      <w:r>
        <w:separator/>
      </w:r>
    </w:p>
  </w:footnote>
  <w:footnote w:type="continuationSeparator" w:id="0">
    <w:p w:rsidR="0033172A" w:rsidRDefault="0033172A" w:rsidP="001A0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945"/>
    <w:multiLevelType w:val="multilevel"/>
    <w:tmpl w:val="6214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16699"/>
    <w:multiLevelType w:val="hybridMultilevel"/>
    <w:tmpl w:val="194E42C8"/>
    <w:lvl w:ilvl="0" w:tplc="3D7C3F8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30B94"/>
    <w:multiLevelType w:val="hybridMultilevel"/>
    <w:tmpl w:val="AA482036"/>
    <w:lvl w:ilvl="0" w:tplc="3D7C3F82">
      <w:start w:val="1"/>
      <w:numFmt w:val="decimal"/>
      <w:lvlText w:val="%1."/>
      <w:lvlJc w:val="left"/>
      <w:pPr>
        <w:ind w:left="178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CA1402"/>
    <w:multiLevelType w:val="hybridMultilevel"/>
    <w:tmpl w:val="6C60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35"/>
    <w:rsid w:val="00021A97"/>
    <w:rsid w:val="000E0BFB"/>
    <w:rsid w:val="001A0A9C"/>
    <w:rsid w:val="0020457D"/>
    <w:rsid w:val="00296135"/>
    <w:rsid w:val="0033172A"/>
    <w:rsid w:val="004A2D7B"/>
    <w:rsid w:val="005364C3"/>
    <w:rsid w:val="00541CEE"/>
    <w:rsid w:val="00643148"/>
    <w:rsid w:val="008E05E0"/>
    <w:rsid w:val="00B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3148"/>
    <w:rPr>
      <w:b/>
      <w:bCs/>
    </w:rPr>
  </w:style>
  <w:style w:type="paragraph" w:styleId="a4">
    <w:name w:val="No Spacing"/>
    <w:uiPriority w:val="1"/>
    <w:qFormat/>
    <w:rsid w:val="00643148"/>
    <w:pPr>
      <w:spacing w:after="0" w:line="240" w:lineRule="auto"/>
    </w:pPr>
  </w:style>
  <w:style w:type="paragraph" w:styleId="a5">
    <w:name w:val="Normal (Web)"/>
    <w:basedOn w:val="a"/>
    <w:link w:val="a6"/>
    <w:uiPriority w:val="99"/>
    <w:rsid w:val="0029613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96135"/>
    <w:pPr>
      <w:ind w:left="720"/>
      <w:contextualSpacing/>
    </w:pPr>
  </w:style>
  <w:style w:type="character" w:customStyle="1" w:styleId="a6">
    <w:name w:val="Обычный (веб) Знак"/>
    <w:link w:val="a5"/>
    <w:uiPriority w:val="99"/>
    <w:locked/>
    <w:rsid w:val="0029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296135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96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1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13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1A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1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1\AppData\Local\Microsoft\Windows\INetCache\IE\C5YZWF2C\2010.%20-%20&#8470;%2020" TargetMode="External"/><Relationship Id="rId18" Type="http://schemas.openxmlformats.org/officeDocument/2006/relationships/hyperlink" Target="http://pedsovet.org/component/option,com_mtree/task,viewlink/link_id,3438/Itemid,11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epublish/2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io/19/kostromi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53862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festival.1september.ru/articles/53473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enclass.ru/node/1286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7826-8519-4543-A6F9-6BE94E6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2015-04-16T11:54:00Z</dcterms:created>
  <dcterms:modified xsi:type="dcterms:W3CDTF">2015-04-16T12:05:00Z</dcterms:modified>
</cp:coreProperties>
</file>